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DACB" w14:textId="4C0CB9AF" w:rsidR="00EF7E06" w:rsidRDefault="00F435BC" w:rsidP="00EF7E06">
      <w:pPr>
        <w:rPr>
          <w:rFonts w:ascii="Arial Narrow" w:hAnsi="Arial Narrow"/>
          <w:b/>
          <w:bCs/>
          <w:iCs/>
          <w:sz w:val="28"/>
          <w:szCs w:val="28"/>
        </w:rPr>
      </w:pPr>
      <w:r>
        <w:rPr>
          <w:rFonts w:ascii="Arial Narrow" w:hAnsi="Arial Narrow"/>
          <w:b/>
          <w:bCs/>
          <w:iCs/>
          <w:noProof/>
          <w:sz w:val="28"/>
          <w:szCs w:val="28"/>
        </w:rPr>
        <w:drawing>
          <wp:inline distT="0" distB="0" distL="0" distR="0" wp14:anchorId="56C175C8" wp14:editId="285B27A5">
            <wp:extent cx="26924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539750"/>
                    </a:xfrm>
                    <a:prstGeom prst="rect">
                      <a:avLst/>
                    </a:prstGeom>
                    <a:noFill/>
                    <a:ln>
                      <a:noFill/>
                    </a:ln>
                  </pic:spPr>
                </pic:pic>
              </a:graphicData>
            </a:graphic>
          </wp:inline>
        </w:drawing>
      </w:r>
    </w:p>
    <w:p w14:paraId="3C057B7B" w14:textId="77777777" w:rsidR="00A9138B" w:rsidRDefault="00A9138B" w:rsidP="007B005B">
      <w:pPr>
        <w:jc w:val="center"/>
        <w:rPr>
          <w:rFonts w:ascii="Arial Narrow" w:hAnsi="Arial Narrow"/>
          <w:b/>
          <w:bCs/>
          <w:iCs/>
          <w:szCs w:val="28"/>
        </w:rPr>
      </w:pPr>
    </w:p>
    <w:p w14:paraId="395F0071" w14:textId="477382A4" w:rsidR="007B005B" w:rsidRPr="00EF7E06" w:rsidRDefault="00002573" w:rsidP="007B005B">
      <w:pPr>
        <w:jc w:val="center"/>
        <w:rPr>
          <w:rFonts w:ascii="Arial Narrow" w:hAnsi="Arial Narrow"/>
          <w:b/>
          <w:bCs/>
          <w:iCs/>
          <w:szCs w:val="28"/>
        </w:rPr>
      </w:pPr>
      <w:r>
        <w:rPr>
          <w:rFonts w:ascii="Arial Narrow" w:hAnsi="Arial Narrow"/>
          <w:b/>
          <w:bCs/>
          <w:iCs/>
          <w:szCs w:val="28"/>
        </w:rPr>
        <w:t>State of the Art Speaker Series</w:t>
      </w:r>
      <w:r w:rsidR="00EF7E06">
        <w:rPr>
          <w:rFonts w:ascii="Arial Narrow" w:hAnsi="Arial Narrow"/>
          <w:b/>
          <w:bCs/>
          <w:iCs/>
          <w:szCs w:val="28"/>
        </w:rPr>
        <w:t xml:space="preserve"> </w:t>
      </w:r>
      <w:r w:rsidR="00F856DE">
        <w:rPr>
          <w:rFonts w:ascii="Arial Narrow" w:hAnsi="Arial Narrow"/>
          <w:b/>
          <w:bCs/>
          <w:iCs/>
          <w:szCs w:val="28"/>
        </w:rPr>
        <w:t>202</w:t>
      </w:r>
      <w:r w:rsidR="002B5AEC">
        <w:rPr>
          <w:rFonts w:ascii="Arial Narrow" w:hAnsi="Arial Narrow"/>
          <w:b/>
          <w:bCs/>
          <w:iCs/>
          <w:szCs w:val="28"/>
        </w:rPr>
        <w:t>5-2026</w:t>
      </w:r>
    </w:p>
    <w:p w14:paraId="1B85F93C" w14:textId="77777777" w:rsidR="00D562EC" w:rsidRDefault="00D562EC" w:rsidP="00620A6E">
      <w:pPr>
        <w:jc w:val="center"/>
      </w:pPr>
      <w:r>
        <w:t>Population Health in the Real World: Strategies for High-Value Care</w:t>
      </w:r>
    </w:p>
    <w:p w14:paraId="631FCB04" w14:textId="0B10B896" w:rsidR="006A618F" w:rsidRPr="003D51C8" w:rsidRDefault="00D562EC" w:rsidP="00620A6E">
      <w:pPr>
        <w:jc w:val="center"/>
        <w:rPr>
          <w:rFonts w:ascii="Arial Narrow" w:hAnsi="Arial Narrow"/>
          <w:b/>
          <w:bCs/>
          <w:iCs/>
          <w:sz w:val="22"/>
          <w:szCs w:val="22"/>
        </w:rPr>
      </w:pPr>
      <w:r>
        <w:rPr>
          <w:rFonts w:ascii="Arial Narrow" w:hAnsi="Arial Narrow"/>
          <w:b/>
          <w:bCs/>
          <w:iCs/>
          <w:sz w:val="22"/>
          <w:szCs w:val="22"/>
        </w:rPr>
        <w:t>January 14, 2026</w:t>
      </w:r>
    </w:p>
    <w:p w14:paraId="0BD80C14" w14:textId="1903D40B" w:rsidR="003D51C8" w:rsidRPr="003D51C8" w:rsidRDefault="00D562EC" w:rsidP="00620A6E">
      <w:pPr>
        <w:jc w:val="center"/>
        <w:rPr>
          <w:rFonts w:ascii="Arial Narrow" w:hAnsi="Arial Narrow"/>
          <w:b/>
          <w:bCs/>
          <w:iCs/>
          <w:sz w:val="22"/>
          <w:szCs w:val="22"/>
        </w:rPr>
      </w:pPr>
      <w:r>
        <w:rPr>
          <w:rFonts w:ascii="Arial Narrow" w:hAnsi="Arial Narrow"/>
          <w:b/>
          <w:bCs/>
          <w:iCs/>
          <w:sz w:val="22"/>
          <w:szCs w:val="22"/>
        </w:rPr>
        <w:t>Robin Lankton, MPH CHES</w:t>
      </w:r>
    </w:p>
    <w:p w14:paraId="04F76A03" w14:textId="77777777" w:rsidR="0062470F" w:rsidRDefault="0062470F" w:rsidP="00620A6E">
      <w:pPr>
        <w:jc w:val="center"/>
        <w:rPr>
          <w:rFonts w:ascii="Arial Narrow" w:hAnsi="Arial Narrow"/>
          <w:b/>
          <w:bCs/>
          <w:iCs/>
          <w:sz w:val="22"/>
          <w:szCs w:val="22"/>
        </w:rPr>
      </w:pPr>
    </w:p>
    <w:p w14:paraId="22AA9E14" w14:textId="77777777" w:rsidR="007B005B" w:rsidRPr="00837ED0" w:rsidRDefault="00B25255" w:rsidP="00837ED0">
      <w:pPr>
        <w:jc w:val="center"/>
        <w:rPr>
          <w:rFonts w:ascii="Arial Narrow" w:hAnsi="Arial Narrow"/>
          <w:bCs/>
          <w:i/>
          <w:iCs/>
          <w:sz w:val="21"/>
          <w:szCs w:val="21"/>
        </w:rPr>
      </w:pPr>
      <w:r w:rsidRPr="00837ED0">
        <w:rPr>
          <w:rFonts w:ascii="Arial Narrow" w:hAnsi="Arial Narrow"/>
          <w:bCs/>
          <w:i/>
          <w:iCs/>
          <w:sz w:val="21"/>
          <w:szCs w:val="21"/>
        </w:rPr>
        <w:t>Provided by the</w:t>
      </w:r>
      <w:r w:rsidR="00837ED0" w:rsidRPr="00837ED0">
        <w:rPr>
          <w:rFonts w:ascii="Arial Narrow" w:hAnsi="Arial Narrow"/>
          <w:bCs/>
          <w:i/>
          <w:iCs/>
          <w:sz w:val="21"/>
          <w:szCs w:val="21"/>
        </w:rPr>
        <w:t xml:space="preserve"> </w:t>
      </w:r>
      <w:r w:rsidR="007B005B" w:rsidRPr="00837ED0">
        <w:rPr>
          <w:rFonts w:ascii="Arial Narrow" w:hAnsi="Arial Narrow"/>
          <w:bCs/>
          <w:i/>
          <w:iCs/>
          <w:sz w:val="21"/>
          <w:szCs w:val="21"/>
        </w:rPr>
        <w:t>University of Wisconsin–Madison Interprofessional Continuing Education Partnership (ICEP)</w:t>
      </w:r>
    </w:p>
    <w:p w14:paraId="067F2675" w14:textId="77777777" w:rsidR="00B25255" w:rsidRPr="00323404" w:rsidRDefault="00B25255" w:rsidP="00894BA5">
      <w:pPr>
        <w:rPr>
          <w:rFonts w:ascii="Arial Narrow" w:hAnsi="Arial Narrow"/>
          <w:bCs/>
          <w:i/>
          <w:iCs/>
          <w:sz w:val="21"/>
          <w:szCs w:val="21"/>
        </w:rPr>
      </w:pPr>
    </w:p>
    <w:p w14:paraId="56F30B07" w14:textId="77777777" w:rsidR="001A5386" w:rsidRPr="00323404" w:rsidRDefault="00620A6E" w:rsidP="00620A6E">
      <w:pPr>
        <w:rPr>
          <w:rFonts w:ascii="Arial Narrow" w:hAnsi="Arial Narrow"/>
          <w:b/>
          <w:bCs/>
          <w:i/>
          <w:iCs/>
          <w:sz w:val="21"/>
          <w:szCs w:val="21"/>
          <w:u w:val="single"/>
        </w:rPr>
      </w:pPr>
      <w:r w:rsidRPr="00323404">
        <w:rPr>
          <w:rFonts w:ascii="Arial Narrow" w:hAnsi="Arial Narrow"/>
          <w:b/>
          <w:bCs/>
          <w:i/>
          <w:iCs/>
          <w:sz w:val="21"/>
          <w:szCs w:val="21"/>
          <w:u w:val="single"/>
        </w:rPr>
        <w:t>Intended Audience:</w:t>
      </w:r>
    </w:p>
    <w:p w14:paraId="6A247C6A" w14:textId="388866C3" w:rsidR="00160722" w:rsidRPr="00160722" w:rsidRDefault="00002573" w:rsidP="00620A6E">
      <w:pPr>
        <w:rPr>
          <w:rFonts w:ascii="Arial Narrow" w:hAnsi="Arial Narrow"/>
          <w:bCs/>
          <w:iCs/>
          <w:sz w:val="21"/>
          <w:szCs w:val="21"/>
        </w:rPr>
      </w:pPr>
      <w:r w:rsidRPr="00002573">
        <w:rPr>
          <w:rFonts w:ascii="Arial Narrow" w:hAnsi="Arial Narrow" w:cs="Arial"/>
          <w:color w:val="2F2F2F"/>
          <w:sz w:val="21"/>
          <w:szCs w:val="21"/>
          <w:shd w:val="clear" w:color="auto" w:fill="FFFFFF"/>
        </w:rPr>
        <w:t>MD/DO, and Physician Assistants</w:t>
      </w:r>
    </w:p>
    <w:p w14:paraId="14C5E858" w14:textId="77777777" w:rsidR="00620A6E" w:rsidRPr="00DE2159" w:rsidRDefault="00620A6E" w:rsidP="00620A6E">
      <w:pPr>
        <w:rPr>
          <w:rFonts w:cs="Arial"/>
          <w:b/>
          <w:bCs/>
          <w:i/>
          <w:iCs/>
          <w:sz w:val="21"/>
          <w:szCs w:val="21"/>
          <w:u w:val="single"/>
        </w:rPr>
      </w:pPr>
      <w:r w:rsidRPr="00323404">
        <w:rPr>
          <w:rFonts w:ascii="Arial Narrow" w:hAnsi="Arial Narrow"/>
          <w:b/>
          <w:bCs/>
          <w:i/>
          <w:iCs/>
          <w:sz w:val="21"/>
          <w:szCs w:val="21"/>
          <w:u w:val="single"/>
        </w:rPr>
        <w:t>Objectives:</w:t>
      </w:r>
    </w:p>
    <w:p w14:paraId="68D6AC15" w14:textId="77777777" w:rsidR="00D562EC" w:rsidRPr="00D562EC" w:rsidRDefault="00D562EC" w:rsidP="00D562EC">
      <w:pPr>
        <w:numPr>
          <w:ilvl w:val="0"/>
          <w:numId w:val="20"/>
        </w:numPr>
        <w:rPr>
          <w:rFonts w:ascii="Arial Narrow" w:hAnsi="Arial Narrow" w:cs="Arial"/>
          <w:bCs/>
          <w:iCs/>
          <w:sz w:val="21"/>
          <w:szCs w:val="21"/>
        </w:rPr>
      </w:pPr>
      <w:r w:rsidRPr="00D562EC">
        <w:rPr>
          <w:rFonts w:ascii="Arial Narrow" w:hAnsi="Arial Narrow" w:cs="Arial"/>
          <w:bCs/>
          <w:iCs/>
          <w:sz w:val="21"/>
          <w:szCs w:val="21"/>
        </w:rPr>
        <w:t>Differentiate population health principles from traditional, fee-for-service care models and summarize</w:t>
      </w:r>
      <w:r w:rsidRPr="00D562EC">
        <w:rPr>
          <w:rFonts w:ascii="Arial Narrow" w:hAnsi="Arial Narrow" w:cs="Arial"/>
          <w:b/>
          <w:bCs/>
          <w:iCs/>
          <w:sz w:val="21"/>
          <w:szCs w:val="21"/>
        </w:rPr>
        <w:t> </w:t>
      </w:r>
      <w:r w:rsidRPr="00D562EC">
        <w:rPr>
          <w:rFonts w:ascii="Arial Narrow" w:hAnsi="Arial Narrow" w:cs="Arial"/>
          <w:bCs/>
          <w:iCs/>
          <w:sz w:val="21"/>
          <w:szCs w:val="21"/>
        </w:rPr>
        <w:t>their implications for clinical practice.</w:t>
      </w:r>
    </w:p>
    <w:p w14:paraId="0E94A103" w14:textId="77777777" w:rsidR="00D562EC" w:rsidRPr="00D562EC" w:rsidRDefault="00D562EC" w:rsidP="00D562EC">
      <w:pPr>
        <w:numPr>
          <w:ilvl w:val="0"/>
          <w:numId w:val="20"/>
        </w:numPr>
        <w:rPr>
          <w:rFonts w:ascii="Arial Narrow" w:hAnsi="Arial Narrow" w:cs="Arial"/>
          <w:bCs/>
          <w:iCs/>
          <w:sz w:val="21"/>
          <w:szCs w:val="21"/>
        </w:rPr>
      </w:pPr>
      <w:r w:rsidRPr="00D562EC">
        <w:rPr>
          <w:rFonts w:ascii="Arial Narrow" w:hAnsi="Arial Narrow" w:cs="Arial"/>
          <w:bCs/>
          <w:iCs/>
          <w:sz w:val="21"/>
          <w:szCs w:val="21"/>
        </w:rPr>
        <w:t>Explain the organizational structures, payment mechanisms, and quality metrics that define UW Health Accountable Care Organization (ACO) and value-based care.</w:t>
      </w:r>
    </w:p>
    <w:p w14:paraId="76F19B78" w14:textId="77777777" w:rsidR="00D562EC" w:rsidRPr="00D562EC" w:rsidRDefault="00D562EC" w:rsidP="00D562EC">
      <w:pPr>
        <w:numPr>
          <w:ilvl w:val="0"/>
          <w:numId w:val="20"/>
        </w:numPr>
        <w:rPr>
          <w:rFonts w:ascii="Arial Narrow" w:hAnsi="Arial Narrow" w:cs="Arial"/>
          <w:bCs/>
          <w:iCs/>
          <w:sz w:val="21"/>
          <w:szCs w:val="21"/>
        </w:rPr>
      </w:pPr>
      <w:r w:rsidRPr="00D562EC">
        <w:rPr>
          <w:rFonts w:ascii="Arial Narrow" w:hAnsi="Arial Narrow" w:cs="Arial"/>
          <w:bCs/>
          <w:iCs/>
          <w:sz w:val="21"/>
          <w:szCs w:val="21"/>
        </w:rPr>
        <w:t>Apply</w:t>
      </w:r>
      <w:r w:rsidRPr="00D562EC">
        <w:rPr>
          <w:rFonts w:ascii="Arial Narrow" w:hAnsi="Arial Narrow" w:cs="Arial"/>
          <w:b/>
          <w:bCs/>
          <w:iCs/>
          <w:sz w:val="21"/>
          <w:szCs w:val="21"/>
        </w:rPr>
        <w:t> </w:t>
      </w:r>
      <w:r w:rsidRPr="00D562EC">
        <w:rPr>
          <w:rFonts w:ascii="Arial Narrow" w:hAnsi="Arial Narrow" w:cs="Arial"/>
          <w:bCs/>
          <w:iCs/>
          <w:sz w:val="21"/>
          <w:szCs w:val="21"/>
        </w:rPr>
        <w:t>population health frameworks to improve outcomes within ACO and value-based care environments.</w:t>
      </w:r>
    </w:p>
    <w:p w14:paraId="6A871EBE" w14:textId="77777777" w:rsidR="00D562EC" w:rsidRDefault="00D562EC" w:rsidP="00B576E4">
      <w:pPr>
        <w:ind w:left="720"/>
        <w:rPr>
          <w:rFonts w:ascii="Arial Narrow" w:hAnsi="Arial Narrow" w:cs="Arial"/>
          <w:b/>
          <w:i/>
          <w:sz w:val="21"/>
          <w:szCs w:val="21"/>
          <w:u w:val="single"/>
        </w:rPr>
      </w:pPr>
    </w:p>
    <w:p w14:paraId="5FA76473" w14:textId="3DFE942C" w:rsidR="003D51C8" w:rsidRPr="00323404" w:rsidRDefault="003D51C8" w:rsidP="00B576E4">
      <w:pPr>
        <w:ind w:left="720"/>
        <w:rPr>
          <w:rFonts w:ascii="Arial Narrow" w:hAnsi="Arial Narrow" w:cs="Arial"/>
          <w:b/>
          <w:i/>
          <w:sz w:val="21"/>
          <w:szCs w:val="21"/>
          <w:u w:val="single"/>
        </w:rPr>
      </w:pPr>
      <w:r w:rsidRPr="00323404">
        <w:rPr>
          <w:rFonts w:ascii="Arial Narrow" w:hAnsi="Arial Narrow" w:cs="Arial"/>
          <w:b/>
          <w:i/>
          <w:sz w:val="21"/>
          <w:szCs w:val="21"/>
          <w:u w:val="single"/>
        </w:rPr>
        <w:t>Policy on Disclosure</w:t>
      </w:r>
    </w:p>
    <w:p w14:paraId="6A32F12D" w14:textId="602E97D5" w:rsidR="00C83223" w:rsidRPr="00C83223" w:rsidRDefault="00C83223" w:rsidP="00C83223">
      <w:pPr>
        <w:ind w:right="90"/>
        <w:rPr>
          <w:rFonts w:ascii="Arial Narrow" w:hAnsi="Arial Narrow" w:cstheme="minorHAnsi"/>
          <w:sz w:val="21"/>
          <w:szCs w:val="21"/>
        </w:rPr>
      </w:pPr>
      <w:r w:rsidRPr="00C83223">
        <w:rPr>
          <w:rFonts w:ascii="Arial Narrow" w:hAnsi="Arial Narrow" w:cstheme="minorHAnsi"/>
          <w:sz w:val="21"/>
          <w:szCs w:val="21"/>
        </w:rPr>
        <w:t>It is the policy of the</w:t>
      </w:r>
      <w:r w:rsidRPr="00C83223">
        <w:rPr>
          <w:rFonts w:ascii="Arial Narrow" w:eastAsia="Calibri" w:hAnsi="Arial Narrow" w:cstheme="minorHAnsi"/>
          <w:sz w:val="21"/>
          <w:szCs w:val="21"/>
        </w:rPr>
        <w:t xml:space="preserve"> University of Wisconsin–Madison</w:t>
      </w:r>
      <w:r w:rsidRPr="00C83223">
        <w:rPr>
          <w:rFonts w:ascii="Arial Narrow" w:hAnsi="Arial Narrow" w:cstheme="minorHAnsi"/>
          <w:sz w:val="21"/>
          <w:szCs w:val="21"/>
        </w:rPr>
        <w:t xml:space="preserve"> Interprofessional Continuing Education Partnership (ICEP) to identify, mitigate and disclose all relevant financial relationships with ineligible companies* held by the speakers/presenters, authors, planners, and other persons who may influence</w:t>
      </w:r>
      <w:r w:rsidR="00307410">
        <w:rPr>
          <w:rFonts w:ascii="Arial Narrow" w:hAnsi="Arial Narrow" w:cstheme="minorHAnsi"/>
          <w:sz w:val="21"/>
          <w:szCs w:val="21"/>
        </w:rPr>
        <w:t xml:space="preserve"> the</w:t>
      </w:r>
      <w:r w:rsidRPr="00C83223">
        <w:rPr>
          <w:rFonts w:ascii="Arial Narrow" w:hAnsi="Arial Narrow" w:cstheme="minorHAnsi"/>
          <w:sz w:val="21"/>
          <w:szCs w:val="21"/>
        </w:rPr>
        <w:t xml:space="preserve"> content of this accredited continuing education (CE).  In addition, speakers, presenters</w:t>
      </w:r>
      <w:r w:rsidR="00AB7F8E">
        <w:rPr>
          <w:rFonts w:ascii="Arial Narrow" w:hAnsi="Arial Narrow" w:cstheme="minorHAnsi"/>
          <w:sz w:val="21"/>
          <w:szCs w:val="21"/>
        </w:rPr>
        <w:t>,</w:t>
      </w:r>
      <w:r w:rsidRPr="00C83223">
        <w:rPr>
          <w:rFonts w:ascii="Arial Narrow" w:hAnsi="Arial Narrow" w:cstheme="minorHAnsi"/>
          <w:sz w:val="21"/>
          <w:szCs w:val="21"/>
        </w:rPr>
        <w:t xml:space="preserve"> and authors must disclose any planned discussion of unlabeled/unapproved uses of drugs or devices during their presentation.</w:t>
      </w:r>
      <w:r w:rsidR="0038698E">
        <w:rPr>
          <w:rFonts w:ascii="Arial Narrow" w:hAnsi="Arial Narrow" w:cstheme="minorHAnsi"/>
          <w:sz w:val="21"/>
          <w:szCs w:val="21"/>
        </w:rPr>
        <w:t xml:space="preserve"> </w:t>
      </w:r>
      <w:r w:rsidRPr="00C83223">
        <w:rPr>
          <w:rFonts w:ascii="Arial Narrow" w:hAnsi="Arial Narrow" w:cstheme="minorHAnsi"/>
          <w:sz w:val="21"/>
          <w:szCs w:val="21"/>
        </w:rPr>
        <w:t>For this accredited continuing education activity</w:t>
      </w:r>
      <w:r>
        <w:rPr>
          <w:rFonts w:ascii="Arial Narrow" w:hAnsi="Arial Narrow" w:cstheme="minorHAnsi"/>
          <w:sz w:val="21"/>
          <w:szCs w:val="21"/>
        </w:rPr>
        <w:t>,</w:t>
      </w:r>
      <w:r w:rsidRPr="00C83223">
        <w:rPr>
          <w:rFonts w:ascii="Arial Narrow" w:hAnsi="Arial Narrow" w:cstheme="minorHAnsi"/>
          <w:sz w:val="21"/>
          <w:szCs w:val="21"/>
        </w:rPr>
        <w:t xml:space="preserve"> all relevant financial relationships have been mitigated and detailed disclosures are listed below.</w:t>
      </w:r>
    </w:p>
    <w:p w14:paraId="705D2811" w14:textId="30C733C6" w:rsidR="003D51C8" w:rsidRDefault="003D51C8" w:rsidP="003D51C8">
      <w:pPr>
        <w:rPr>
          <w:rFonts w:ascii="Arial Narrow" w:hAnsi="Arial Narrow"/>
          <w:i/>
          <w:color w:val="000000"/>
          <w:sz w:val="16"/>
          <w:szCs w:val="16"/>
        </w:rPr>
      </w:pPr>
      <w:r w:rsidRPr="00C83223">
        <w:rPr>
          <w:rFonts w:ascii="Arial Narrow" w:hAnsi="Arial Narrow"/>
          <w:i/>
          <w:color w:val="000000"/>
          <w:sz w:val="16"/>
          <w:szCs w:val="16"/>
        </w:rPr>
        <w:t xml:space="preserve">* </w:t>
      </w:r>
      <w:r w:rsidR="00C83223">
        <w:rPr>
          <w:rFonts w:ascii="Arial Narrow" w:hAnsi="Arial Narrow"/>
          <w:i/>
          <w:color w:val="000000"/>
          <w:sz w:val="16"/>
          <w:szCs w:val="16"/>
        </w:rPr>
        <w:t>I</w:t>
      </w:r>
      <w:r w:rsidR="00F435BC" w:rsidRPr="00C83223">
        <w:rPr>
          <w:rFonts w:ascii="Arial Narrow" w:hAnsi="Arial Narrow" w:cs="Calibri"/>
          <w:b/>
          <w:bCs/>
          <w:i/>
          <w:sz w:val="16"/>
          <w:szCs w:val="16"/>
        </w:rPr>
        <w:t>neligible companies</w:t>
      </w:r>
      <w:r w:rsidR="00F435BC" w:rsidRPr="00C83223">
        <w:rPr>
          <w:rFonts w:ascii="Arial Narrow" w:hAnsi="Arial Narrow" w:cs="Calibri"/>
          <w:i/>
          <w:sz w:val="16"/>
          <w:szCs w:val="16"/>
        </w:rPr>
        <w:t xml:space="preserve"> are those whose primary business is producing</w:t>
      </w:r>
      <w:r w:rsidR="00F435BC" w:rsidRPr="00F435BC">
        <w:rPr>
          <w:rFonts w:ascii="Arial Narrow" w:hAnsi="Arial Narrow" w:cs="Calibri"/>
          <w:i/>
          <w:sz w:val="16"/>
          <w:szCs w:val="16"/>
        </w:rPr>
        <w:t>, marketing, selling, re-selling, or distributing healthcare products used by or on patients.</w:t>
      </w:r>
      <w:r w:rsidRPr="00F435BC">
        <w:rPr>
          <w:rFonts w:ascii="Arial Narrow" w:hAnsi="Arial Narrow"/>
          <w:i/>
          <w:color w:val="000000"/>
          <w:sz w:val="16"/>
          <w:szCs w:val="16"/>
        </w:rPr>
        <w:t xml:space="preserve"> </w:t>
      </w:r>
      <w:r>
        <w:rPr>
          <w:rFonts w:ascii="Arial Narrow" w:hAnsi="Arial Narrow"/>
          <w:i/>
          <w:color w:val="000000"/>
          <w:sz w:val="16"/>
          <w:szCs w:val="16"/>
        </w:rPr>
        <w:t xml:space="preserve">The </w:t>
      </w:r>
      <w:r w:rsidR="00C83223">
        <w:rPr>
          <w:rFonts w:ascii="Arial Narrow" w:hAnsi="Arial Narrow"/>
          <w:i/>
          <w:color w:val="000000"/>
          <w:sz w:val="16"/>
          <w:szCs w:val="16"/>
        </w:rPr>
        <w:t>ACCME</w:t>
      </w:r>
      <w:r w:rsidRPr="00D24202">
        <w:rPr>
          <w:rFonts w:ascii="Arial Narrow" w:hAnsi="Arial Narrow"/>
          <w:i/>
          <w:color w:val="000000"/>
          <w:sz w:val="16"/>
          <w:szCs w:val="16"/>
        </w:rPr>
        <w:t xml:space="preserve"> does not consider providers of clinical service directly to patients to be</w:t>
      </w:r>
      <w:r w:rsidR="002A56A3">
        <w:rPr>
          <w:rFonts w:ascii="Arial Narrow" w:hAnsi="Arial Narrow"/>
          <w:i/>
          <w:color w:val="000000"/>
          <w:sz w:val="16"/>
          <w:szCs w:val="16"/>
        </w:rPr>
        <w:t xml:space="preserve"> ineligible companies.</w:t>
      </w:r>
    </w:p>
    <w:p w14:paraId="40D70F22" w14:textId="77777777" w:rsidR="003D51C8" w:rsidRDefault="003D51C8" w:rsidP="007501A0">
      <w:pPr>
        <w:ind w:left="720"/>
        <w:rPr>
          <w:rFonts w:ascii="Arial Narrow" w:hAnsi="Arial Narrow" w:cs="Arial"/>
          <w:bCs/>
          <w:iCs/>
          <w:sz w:val="21"/>
          <w:szCs w:val="21"/>
        </w:rPr>
      </w:pPr>
    </w:p>
    <w:p w14:paraId="156C680A" w14:textId="77777777" w:rsidR="007D5A4A" w:rsidRPr="00323404" w:rsidRDefault="007D5A4A" w:rsidP="007501A0">
      <w:pPr>
        <w:ind w:left="720"/>
        <w:rPr>
          <w:rFonts w:ascii="Arial Narrow" w:hAnsi="Arial Narrow" w:cs="Arial"/>
          <w:bCs/>
          <w:i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89"/>
        <w:gridCol w:w="4216"/>
        <w:gridCol w:w="2430"/>
        <w:gridCol w:w="1255"/>
      </w:tblGrid>
      <w:tr w:rsidR="00D42C6D" w:rsidRPr="00947FB8" w14:paraId="3E2FCC40" w14:textId="77777777" w:rsidTr="00002573">
        <w:trPr>
          <w:trHeight w:val="313"/>
          <w:jc w:val="center"/>
        </w:trPr>
        <w:tc>
          <w:tcPr>
            <w:tcW w:w="1800" w:type="dxa"/>
          </w:tcPr>
          <w:p w14:paraId="7AE0158E" w14:textId="77777777" w:rsidR="00D42C6D" w:rsidRPr="00947FB8" w:rsidRDefault="00D42C6D" w:rsidP="00AB413B">
            <w:pPr>
              <w:jc w:val="center"/>
              <w:rPr>
                <w:b/>
                <w:sz w:val="20"/>
                <w:szCs w:val="20"/>
              </w:rPr>
            </w:pPr>
            <w:r w:rsidRPr="00947FB8">
              <w:rPr>
                <w:b/>
                <w:sz w:val="20"/>
                <w:szCs w:val="20"/>
              </w:rPr>
              <w:t>Name</w:t>
            </w:r>
          </w:p>
        </w:tc>
        <w:tc>
          <w:tcPr>
            <w:tcW w:w="1089" w:type="dxa"/>
          </w:tcPr>
          <w:p w14:paraId="01A7E532" w14:textId="77777777" w:rsidR="00D42C6D" w:rsidRPr="00947FB8" w:rsidRDefault="00D42C6D" w:rsidP="00AB413B">
            <w:pPr>
              <w:jc w:val="center"/>
              <w:rPr>
                <w:b/>
                <w:sz w:val="20"/>
                <w:szCs w:val="20"/>
              </w:rPr>
            </w:pPr>
            <w:r>
              <w:rPr>
                <w:b/>
                <w:sz w:val="20"/>
                <w:szCs w:val="20"/>
              </w:rPr>
              <w:t>Role</w:t>
            </w:r>
          </w:p>
        </w:tc>
        <w:tc>
          <w:tcPr>
            <w:tcW w:w="4216" w:type="dxa"/>
          </w:tcPr>
          <w:p w14:paraId="21106557" w14:textId="77777777" w:rsidR="00D42C6D" w:rsidRPr="00947FB8" w:rsidRDefault="00D42C6D" w:rsidP="00AB413B">
            <w:pPr>
              <w:jc w:val="center"/>
              <w:rPr>
                <w:b/>
                <w:sz w:val="20"/>
                <w:szCs w:val="20"/>
              </w:rPr>
            </w:pPr>
            <w:r w:rsidRPr="00947FB8">
              <w:rPr>
                <w:b/>
                <w:sz w:val="20"/>
                <w:szCs w:val="20"/>
              </w:rPr>
              <w:t>Financial Relationship Disclosures</w:t>
            </w:r>
          </w:p>
        </w:tc>
        <w:tc>
          <w:tcPr>
            <w:tcW w:w="2430" w:type="dxa"/>
          </w:tcPr>
          <w:p w14:paraId="0D0C7A99" w14:textId="79FBA2A7" w:rsidR="00D42C6D" w:rsidRPr="00947FB8" w:rsidRDefault="00D42C6D" w:rsidP="00AB413B">
            <w:pPr>
              <w:ind w:right="-108"/>
              <w:jc w:val="center"/>
              <w:rPr>
                <w:b/>
                <w:sz w:val="20"/>
                <w:szCs w:val="20"/>
              </w:rPr>
            </w:pPr>
            <w:r w:rsidRPr="00947FB8">
              <w:rPr>
                <w:b/>
                <w:sz w:val="20"/>
                <w:szCs w:val="20"/>
              </w:rPr>
              <w:t xml:space="preserve">Discussion of </w:t>
            </w:r>
            <w:r w:rsidR="000851F7">
              <w:rPr>
                <w:b/>
                <w:sz w:val="20"/>
                <w:szCs w:val="20"/>
              </w:rPr>
              <w:t>u</w:t>
            </w:r>
            <w:r w:rsidRPr="00947FB8">
              <w:rPr>
                <w:b/>
                <w:sz w:val="20"/>
                <w:szCs w:val="20"/>
              </w:rPr>
              <w:t>nlabeled/</w:t>
            </w:r>
            <w:r w:rsidR="000851F7">
              <w:rPr>
                <w:b/>
                <w:sz w:val="20"/>
                <w:szCs w:val="20"/>
              </w:rPr>
              <w:t>u</w:t>
            </w:r>
            <w:r w:rsidRPr="00947FB8">
              <w:rPr>
                <w:b/>
                <w:sz w:val="20"/>
                <w:szCs w:val="20"/>
              </w:rPr>
              <w:t>napproved uses of drugs/devices in presentation</w:t>
            </w:r>
          </w:p>
        </w:tc>
        <w:tc>
          <w:tcPr>
            <w:tcW w:w="1255" w:type="dxa"/>
          </w:tcPr>
          <w:p w14:paraId="32C80335" w14:textId="77777777" w:rsidR="00D42C6D" w:rsidRPr="00947FB8" w:rsidRDefault="00D42C6D" w:rsidP="00F856DE">
            <w:pPr>
              <w:ind w:right="-108"/>
              <w:jc w:val="center"/>
              <w:rPr>
                <w:b/>
                <w:sz w:val="20"/>
                <w:szCs w:val="20"/>
              </w:rPr>
            </w:pPr>
            <w:r>
              <w:rPr>
                <w:b/>
                <w:sz w:val="20"/>
                <w:szCs w:val="20"/>
              </w:rPr>
              <w:t>COI completion date</w:t>
            </w:r>
          </w:p>
        </w:tc>
      </w:tr>
      <w:tr w:rsidR="00002573" w:rsidRPr="006A618F" w14:paraId="23BCC9E5" w14:textId="77777777" w:rsidTr="00002573">
        <w:trPr>
          <w:trHeight w:val="260"/>
          <w:jc w:val="center"/>
        </w:trPr>
        <w:tc>
          <w:tcPr>
            <w:tcW w:w="1800" w:type="dxa"/>
          </w:tcPr>
          <w:p w14:paraId="03BC7683" w14:textId="182FF175" w:rsidR="00002573" w:rsidRPr="006A618F" w:rsidRDefault="00002573" w:rsidP="006D44DD">
            <w:pPr>
              <w:rPr>
                <w:sz w:val="16"/>
                <w:szCs w:val="16"/>
              </w:rPr>
            </w:pPr>
            <w:r w:rsidRPr="006A618F">
              <w:rPr>
                <w:sz w:val="16"/>
                <w:szCs w:val="16"/>
              </w:rPr>
              <w:t>Prabhav Kenkre, MD</w:t>
            </w:r>
          </w:p>
          <w:p w14:paraId="76B73BE7" w14:textId="2A15070E" w:rsidR="00002573" w:rsidRPr="006A618F" w:rsidRDefault="00002573" w:rsidP="000900A4">
            <w:pPr>
              <w:rPr>
                <w:sz w:val="16"/>
                <w:szCs w:val="16"/>
              </w:rPr>
            </w:pPr>
          </w:p>
        </w:tc>
        <w:tc>
          <w:tcPr>
            <w:tcW w:w="1089" w:type="dxa"/>
          </w:tcPr>
          <w:p w14:paraId="6E81F42B" w14:textId="5B01A5D2" w:rsidR="0066455B" w:rsidRPr="006A618F" w:rsidRDefault="00002573" w:rsidP="000900A4">
            <w:pPr>
              <w:rPr>
                <w:sz w:val="16"/>
                <w:szCs w:val="16"/>
              </w:rPr>
            </w:pPr>
            <w:r w:rsidRPr="006A618F">
              <w:rPr>
                <w:sz w:val="16"/>
                <w:szCs w:val="16"/>
              </w:rPr>
              <w:t>RSS Chair</w:t>
            </w:r>
          </w:p>
        </w:tc>
        <w:tc>
          <w:tcPr>
            <w:tcW w:w="4216" w:type="dxa"/>
          </w:tcPr>
          <w:p w14:paraId="03E0B5AE" w14:textId="37F7BA7F" w:rsidR="00002573" w:rsidRPr="006A618F" w:rsidRDefault="00002573" w:rsidP="00D562EC">
            <w:pPr>
              <w:jc w:val="center"/>
              <w:rPr>
                <w:sz w:val="16"/>
                <w:szCs w:val="16"/>
              </w:rPr>
            </w:pPr>
            <w:r w:rsidRPr="006A618F">
              <w:rPr>
                <w:sz w:val="16"/>
                <w:szCs w:val="16"/>
              </w:rPr>
              <w:t>No relevant financial relationships with ineligible companies to disclose</w:t>
            </w:r>
          </w:p>
          <w:p w14:paraId="6FD01555" w14:textId="3DF5B232" w:rsidR="00002573" w:rsidRPr="006A618F" w:rsidRDefault="00002573" w:rsidP="000900A4">
            <w:pPr>
              <w:jc w:val="center"/>
              <w:rPr>
                <w:sz w:val="16"/>
                <w:szCs w:val="16"/>
              </w:rPr>
            </w:pPr>
          </w:p>
        </w:tc>
        <w:tc>
          <w:tcPr>
            <w:tcW w:w="2430" w:type="dxa"/>
          </w:tcPr>
          <w:p w14:paraId="1CCF626E" w14:textId="6FF0A540" w:rsidR="00002573" w:rsidRPr="006A618F" w:rsidRDefault="00002573" w:rsidP="000900A4">
            <w:pPr>
              <w:jc w:val="center"/>
              <w:rPr>
                <w:sz w:val="16"/>
                <w:szCs w:val="16"/>
              </w:rPr>
            </w:pPr>
            <w:r w:rsidRPr="006A618F">
              <w:rPr>
                <w:sz w:val="16"/>
                <w:szCs w:val="16"/>
              </w:rPr>
              <w:t>NA</w:t>
            </w:r>
          </w:p>
        </w:tc>
        <w:tc>
          <w:tcPr>
            <w:tcW w:w="1255" w:type="dxa"/>
          </w:tcPr>
          <w:p w14:paraId="5AFFD5E0" w14:textId="6B1D606A" w:rsidR="00002573" w:rsidRPr="006A618F" w:rsidRDefault="00002573" w:rsidP="000900A4">
            <w:pPr>
              <w:jc w:val="center"/>
              <w:rPr>
                <w:sz w:val="16"/>
                <w:szCs w:val="16"/>
              </w:rPr>
            </w:pPr>
            <w:r w:rsidRPr="006A618F">
              <w:rPr>
                <w:sz w:val="16"/>
                <w:szCs w:val="16"/>
              </w:rPr>
              <w:t>12/</w:t>
            </w:r>
            <w:r w:rsidR="00D562EC">
              <w:rPr>
                <w:sz w:val="16"/>
                <w:szCs w:val="16"/>
              </w:rPr>
              <w:t>01/2025</w:t>
            </w:r>
          </w:p>
        </w:tc>
      </w:tr>
      <w:tr w:rsidR="00002573" w:rsidRPr="006A618F" w14:paraId="7306EB87" w14:textId="77777777" w:rsidTr="00002573">
        <w:trPr>
          <w:trHeight w:val="305"/>
          <w:jc w:val="center"/>
        </w:trPr>
        <w:tc>
          <w:tcPr>
            <w:tcW w:w="1800" w:type="dxa"/>
          </w:tcPr>
          <w:p w14:paraId="1A1336A1" w14:textId="2C43B95B" w:rsidR="00002573" w:rsidRPr="006A618F" w:rsidRDefault="00002573" w:rsidP="00982101">
            <w:pPr>
              <w:rPr>
                <w:sz w:val="16"/>
                <w:szCs w:val="16"/>
              </w:rPr>
            </w:pPr>
            <w:r w:rsidRPr="006A618F">
              <w:rPr>
                <w:sz w:val="16"/>
                <w:szCs w:val="16"/>
              </w:rPr>
              <w:t xml:space="preserve">Laura Thompson </w:t>
            </w:r>
          </w:p>
        </w:tc>
        <w:tc>
          <w:tcPr>
            <w:tcW w:w="1089" w:type="dxa"/>
          </w:tcPr>
          <w:p w14:paraId="6E2382E5" w14:textId="213DB419" w:rsidR="001747A4" w:rsidRPr="006A618F" w:rsidRDefault="00002573" w:rsidP="00982101">
            <w:pPr>
              <w:rPr>
                <w:sz w:val="16"/>
                <w:szCs w:val="16"/>
              </w:rPr>
            </w:pPr>
            <w:r w:rsidRPr="006A618F">
              <w:rPr>
                <w:sz w:val="16"/>
                <w:szCs w:val="16"/>
              </w:rPr>
              <w:t>RSS Coordinator</w:t>
            </w:r>
          </w:p>
        </w:tc>
        <w:tc>
          <w:tcPr>
            <w:tcW w:w="4216" w:type="dxa"/>
          </w:tcPr>
          <w:p w14:paraId="1238963E" w14:textId="77777777" w:rsidR="00D562EC" w:rsidRPr="006A618F" w:rsidRDefault="00D562EC" w:rsidP="00D562EC">
            <w:pPr>
              <w:jc w:val="center"/>
              <w:rPr>
                <w:sz w:val="16"/>
                <w:szCs w:val="16"/>
              </w:rPr>
            </w:pPr>
            <w:r w:rsidRPr="006A618F">
              <w:rPr>
                <w:sz w:val="16"/>
                <w:szCs w:val="16"/>
              </w:rPr>
              <w:t>No relevant financial relationships with ineligible companies to disclose</w:t>
            </w:r>
          </w:p>
          <w:p w14:paraId="2F3EDE19" w14:textId="4B90EF49" w:rsidR="00002573" w:rsidRPr="006A618F" w:rsidRDefault="00002573" w:rsidP="00D562EC">
            <w:pPr>
              <w:rPr>
                <w:sz w:val="16"/>
                <w:szCs w:val="16"/>
              </w:rPr>
            </w:pPr>
          </w:p>
        </w:tc>
        <w:tc>
          <w:tcPr>
            <w:tcW w:w="2430" w:type="dxa"/>
          </w:tcPr>
          <w:p w14:paraId="19DB3B41" w14:textId="3F73239B" w:rsidR="00002573" w:rsidRPr="006A618F" w:rsidRDefault="00002573" w:rsidP="006D44DD">
            <w:pPr>
              <w:jc w:val="center"/>
              <w:rPr>
                <w:sz w:val="16"/>
                <w:szCs w:val="16"/>
              </w:rPr>
            </w:pPr>
            <w:r w:rsidRPr="006A618F">
              <w:rPr>
                <w:sz w:val="16"/>
                <w:szCs w:val="16"/>
              </w:rPr>
              <w:t>NA</w:t>
            </w:r>
          </w:p>
        </w:tc>
        <w:tc>
          <w:tcPr>
            <w:tcW w:w="1255" w:type="dxa"/>
          </w:tcPr>
          <w:p w14:paraId="0A7CDBBF" w14:textId="69A6F6ED" w:rsidR="00002573" w:rsidRPr="006A618F" w:rsidRDefault="00D562EC" w:rsidP="006D44DD">
            <w:pPr>
              <w:jc w:val="center"/>
              <w:rPr>
                <w:sz w:val="16"/>
                <w:szCs w:val="16"/>
              </w:rPr>
            </w:pPr>
            <w:r w:rsidRPr="006A618F">
              <w:rPr>
                <w:sz w:val="16"/>
                <w:szCs w:val="16"/>
              </w:rPr>
              <w:t>12/</w:t>
            </w:r>
            <w:r>
              <w:rPr>
                <w:sz w:val="16"/>
                <w:szCs w:val="16"/>
              </w:rPr>
              <w:t>01/2025</w:t>
            </w:r>
          </w:p>
        </w:tc>
      </w:tr>
      <w:tr w:rsidR="00002573" w:rsidRPr="006A618F" w14:paraId="5EA404D6" w14:textId="77777777" w:rsidTr="00002573">
        <w:trPr>
          <w:trHeight w:val="260"/>
          <w:jc w:val="center"/>
        </w:trPr>
        <w:tc>
          <w:tcPr>
            <w:tcW w:w="1800" w:type="dxa"/>
          </w:tcPr>
          <w:p w14:paraId="6B867C46" w14:textId="15D60C64" w:rsidR="00002573" w:rsidRPr="006A618F" w:rsidRDefault="00002573" w:rsidP="00982101">
            <w:pPr>
              <w:rPr>
                <w:sz w:val="16"/>
                <w:szCs w:val="16"/>
              </w:rPr>
            </w:pPr>
            <w:r w:rsidRPr="006A618F">
              <w:rPr>
                <w:sz w:val="16"/>
                <w:szCs w:val="16"/>
              </w:rPr>
              <w:t>McKenna Swann</w:t>
            </w:r>
          </w:p>
        </w:tc>
        <w:tc>
          <w:tcPr>
            <w:tcW w:w="1089" w:type="dxa"/>
          </w:tcPr>
          <w:p w14:paraId="42F89488" w14:textId="77777777" w:rsidR="00002573" w:rsidRPr="006A618F" w:rsidRDefault="00002573" w:rsidP="00D42C6D">
            <w:pPr>
              <w:rPr>
                <w:sz w:val="16"/>
                <w:szCs w:val="16"/>
              </w:rPr>
            </w:pPr>
            <w:r w:rsidRPr="006A618F">
              <w:rPr>
                <w:sz w:val="16"/>
                <w:szCs w:val="16"/>
              </w:rPr>
              <w:t>Planner</w:t>
            </w:r>
          </w:p>
          <w:p w14:paraId="215A685E" w14:textId="54D6794E" w:rsidR="00002573" w:rsidRPr="006A618F" w:rsidRDefault="00002573" w:rsidP="00D42C6D">
            <w:pPr>
              <w:rPr>
                <w:sz w:val="16"/>
                <w:szCs w:val="16"/>
              </w:rPr>
            </w:pPr>
          </w:p>
        </w:tc>
        <w:tc>
          <w:tcPr>
            <w:tcW w:w="4216" w:type="dxa"/>
          </w:tcPr>
          <w:p w14:paraId="68CB830B" w14:textId="467933D4" w:rsidR="00002573" w:rsidRPr="006A618F" w:rsidRDefault="00002573" w:rsidP="00E818E4">
            <w:pPr>
              <w:jc w:val="center"/>
              <w:rPr>
                <w:sz w:val="16"/>
                <w:szCs w:val="16"/>
              </w:rPr>
            </w:pPr>
            <w:r w:rsidRPr="006A618F">
              <w:rPr>
                <w:sz w:val="16"/>
                <w:szCs w:val="16"/>
              </w:rPr>
              <w:t>No relationships with ineligible companies to disclose.</w:t>
            </w:r>
          </w:p>
          <w:p w14:paraId="75486F7C" w14:textId="4FA61446" w:rsidR="00002573" w:rsidRPr="006A618F" w:rsidRDefault="00002573" w:rsidP="00002573">
            <w:pPr>
              <w:rPr>
                <w:sz w:val="16"/>
                <w:szCs w:val="16"/>
              </w:rPr>
            </w:pPr>
          </w:p>
        </w:tc>
        <w:tc>
          <w:tcPr>
            <w:tcW w:w="2430" w:type="dxa"/>
          </w:tcPr>
          <w:p w14:paraId="76E9CBA0" w14:textId="3440479D" w:rsidR="00002573" w:rsidRPr="006A618F" w:rsidRDefault="00002573" w:rsidP="00982101">
            <w:pPr>
              <w:jc w:val="center"/>
              <w:rPr>
                <w:sz w:val="16"/>
                <w:szCs w:val="16"/>
              </w:rPr>
            </w:pPr>
            <w:r w:rsidRPr="006A618F">
              <w:rPr>
                <w:sz w:val="16"/>
                <w:szCs w:val="16"/>
              </w:rPr>
              <w:t>NA</w:t>
            </w:r>
          </w:p>
        </w:tc>
        <w:tc>
          <w:tcPr>
            <w:tcW w:w="1255" w:type="dxa"/>
          </w:tcPr>
          <w:p w14:paraId="0235A267" w14:textId="6F170BE3" w:rsidR="00002573" w:rsidRPr="006A618F" w:rsidRDefault="00D562EC" w:rsidP="00982101">
            <w:pPr>
              <w:jc w:val="center"/>
              <w:rPr>
                <w:sz w:val="16"/>
                <w:szCs w:val="16"/>
              </w:rPr>
            </w:pPr>
            <w:r w:rsidRPr="006A618F">
              <w:rPr>
                <w:sz w:val="16"/>
                <w:szCs w:val="16"/>
              </w:rPr>
              <w:t>12/</w:t>
            </w:r>
            <w:r>
              <w:rPr>
                <w:sz w:val="16"/>
                <w:szCs w:val="16"/>
              </w:rPr>
              <w:t>01/2025</w:t>
            </w:r>
          </w:p>
        </w:tc>
      </w:tr>
      <w:tr w:rsidR="00440F04" w:rsidRPr="006A618F" w14:paraId="7DB78586" w14:textId="77777777" w:rsidTr="00002573">
        <w:trPr>
          <w:trHeight w:val="260"/>
          <w:jc w:val="center"/>
        </w:trPr>
        <w:tc>
          <w:tcPr>
            <w:tcW w:w="1800" w:type="dxa"/>
          </w:tcPr>
          <w:p w14:paraId="63D4B78A" w14:textId="52D7CB9E" w:rsidR="00440F04" w:rsidRPr="006A618F" w:rsidRDefault="00D562EC" w:rsidP="00982101">
            <w:pPr>
              <w:rPr>
                <w:sz w:val="16"/>
                <w:szCs w:val="16"/>
              </w:rPr>
            </w:pPr>
            <w:r>
              <w:rPr>
                <w:sz w:val="16"/>
                <w:szCs w:val="16"/>
              </w:rPr>
              <w:t>Robin Lankton, MPH CHES</w:t>
            </w:r>
          </w:p>
        </w:tc>
        <w:tc>
          <w:tcPr>
            <w:tcW w:w="1089" w:type="dxa"/>
          </w:tcPr>
          <w:p w14:paraId="72920584" w14:textId="26762AA5" w:rsidR="00440F04" w:rsidRPr="006A618F" w:rsidRDefault="00440F04" w:rsidP="00D42C6D">
            <w:pPr>
              <w:rPr>
                <w:sz w:val="16"/>
                <w:szCs w:val="16"/>
              </w:rPr>
            </w:pPr>
            <w:r>
              <w:rPr>
                <w:sz w:val="16"/>
                <w:szCs w:val="16"/>
              </w:rPr>
              <w:t>Speaker</w:t>
            </w:r>
          </w:p>
        </w:tc>
        <w:tc>
          <w:tcPr>
            <w:tcW w:w="4216" w:type="dxa"/>
          </w:tcPr>
          <w:p w14:paraId="056EB30E" w14:textId="77777777" w:rsidR="00DE71FA" w:rsidRPr="006A618F" w:rsidRDefault="00DE71FA" w:rsidP="00DE71FA">
            <w:pPr>
              <w:jc w:val="center"/>
              <w:rPr>
                <w:sz w:val="16"/>
                <w:szCs w:val="16"/>
              </w:rPr>
            </w:pPr>
            <w:r w:rsidRPr="006A618F">
              <w:rPr>
                <w:sz w:val="16"/>
                <w:szCs w:val="16"/>
              </w:rPr>
              <w:t>No relationships with ineligible companies to disclose.</w:t>
            </w:r>
          </w:p>
          <w:p w14:paraId="66EA97BB" w14:textId="77777777" w:rsidR="00440F04" w:rsidRPr="006A618F" w:rsidRDefault="00440F04" w:rsidP="004E156E">
            <w:pPr>
              <w:jc w:val="center"/>
              <w:rPr>
                <w:sz w:val="16"/>
                <w:szCs w:val="16"/>
              </w:rPr>
            </w:pPr>
          </w:p>
        </w:tc>
        <w:tc>
          <w:tcPr>
            <w:tcW w:w="2430" w:type="dxa"/>
          </w:tcPr>
          <w:p w14:paraId="50CBC7A9" w14:textId="068A3AF6" w:rsidR="00440F04" w:rsidRPr="006A618F" w:rsidRDefault="00DE71FA" w:rsidP="00982101">
            <w:pPr>
              <w:jc w:val="center"/>
              <w:rPr>
                <w:sz w:val="16"/>
                <w:szCs w:val="16"/>
              </w:rPr>
            </w:pPr>
            <w:r>
              <w:rPr>
                <w:sz w:val="16"/>
                <w:szCs w:val="16"/>
              </w:rPr>
              <w:t>No</w:t>
            </w:r>
          </w:p>
        </w:tc>
        <w:tc>
          <w:tcPr>
            <w:tcW w:w="1255" w:type="dxa"/>
          </w:tcPr>
          <w:p w14:paraId="34B7795C" w14:textId="590EDAF0" w:rsidR="00440F04" w:rsidRPr="006A618F" w:rsidRDefault="00420B9C" w:rsidP="00982101">
            <w:pPr>
              <w:jc w:val="center"/>
              <w:rPr>
                <w:sz w:val="16"/>
                <w:szCs w:val="16"/>
              </w:rPr>
            </w:pPr>
            <w:r>
              <w:rPr>
                <w:sz w:val="16"/>
                <w:szCs w:val="16"/>
              </w:rPr>
              <w:t>1</w:t>
            </w:r>
            <w:r w:rsidR="00D562EC">
              <w:rPr>
                <w:sz w:val="16"/>
                <w:szCs w:val="16"/>
              </w:rPr>
              <w:t>2</w:t>
            </w:r>
            <w:r>
              <w:rPr>
                <w:sz w:val="16"/>
                <w:szCs w:val="16"/>
              </w:rPr>
              <w:t>/</w:t>
            </w:r>
            <w:r w:rsidR="00D562EC">
              <w:rPr>
                <w:sz w:val="16"/>
                <w:szCs w:val="16"/>
              </w:rPr>
              <w:t>18</w:t>
            </w:r>
            <w:r>
              <w:rPr>
                <w:sz w:val="16"/>
                <w:szCs w:val="16"/>
              </w:rPr>
              <w:t>/2025</w:t>
            </w:r>
          </w:p>
        </w:tc>
      </w:tr>
    </w:tbl>
    <w:p w14:paraId="18C562F4" w14:textId="77777777" w:rsidR="00D24202" w:rsidRPr="00323404" w:rsidRDefault="00D24202" w:rsidP="00620A6E">
      <w:pPr>
        <w:rPr>
          <w:rFonts w:ascii="Arial Narrow" w:hAnsi="Arial Narrow"/>
          <w:bCs/>
          <w:i/>
          <w:iCs/>
          <w:sz w:val="21"/>
          <w:szCs w:val="21"/>
        </w:rPr>
      </w:pPr>
    </w:p>
    <w:p w14:paraId="6771F02C" w14:textId="7017AD7D" w:rsidR="00B25255" w:rsidRDefault="00620A6E" w:rsidP="00005C06">
      <w:pPr>
        <w:rPr>
          <w:rFonts w:ascii="Arial Narrow" w:hAnsi="Arial Narrow"/>
          <w:b/>
          <w:bCs/>
          <w:i/>
          <w:iCs/>
          <w:sz w:val="21"/>
          <w:szCs w:val="21"/>
          <w:u w:val="single"/>
        </w:rPr>
      </w:pPr>
      <w:r w:rsidRPr="00323404">
        <w:rPr>
          <w:rFonts w:ascii="Arial Narrow" w:hAnsi="Arial Narrow"/>
          <w:b/>
          <w:bCs/>
          <w:i/>
          <w:iCs/>
          <w:sz w:val="21"/>
          <w:szCs w:val="21"/>
          <w:u w:val="single"/>
        </w:rPr>
        <w:t>Accreditation Statemen</w:t>
      </w:r>
      <w:r w:rsidR="00B25255">
        <w:rPr>
          <w:rFonts w:ascii="Arial Narrow" w:hAnsi="Arial Narrow"/>
          <w:b/>
          <w:bCs/>
          <w:i/>
          <w:iCs/>
          <w:sz w:val="21"/>
          <w:szCs w:val="21"/>
          <w:u w:val="single"/>
        </w:rPr>
        <w:t>t</w:t>
      </w:r>
    </w:p>
    <w:p w14:paraId="1917B768" w14:textId="5767822E" w:rsidR="00B25255" w:rsidRDefault="00D332C1" w:rsidP="00D332C1">
      <w:pPr>
        <w:ind w:left="1440"/>
        <w:rPr>
          <w:rFonts w:ascii="Arial Narrow" w:hAnsi="Arial Narrow"/>
          <w:sz w:val="21"/>
          <w:szCs w:val="21"/>
        </w:rPr>
      </w:pPr>
      <w:r>
        <w:rPr>
          <w:rFonts w:ascii="Arial Narrow" w:hAnsi="Arial Narrow"/>
          <w:noProof/>
          <w:sz w:val="21"/>
          <w:szCs w:val="21"/>
        </w:rPr>
        <w:drawing>
          <wp:anchor distT="0" distB="0" distL="114300" distR="114300" simplePos="0" relativeHeight="251658240" behindDoc="0" locked="0" layoutInCell="1" allowOverlap="1" wp14:anchorId="250A3559" wp14:editId="61736D1E">
            <wp:simplePos x="0" y="0"/>
            <wp:positionH relativeFrom="margin">
              <wp:posOffset>184150</wp:posOffset>
            </wp:positionH>
            <wp:positionV relativeFrom="paragraph">
              <wp:posOffset>6350</wp:posOffset>
            </wp:positionV>
            <wp:extent cx="568960" cy="499158"/>
            <wp:effectExtent l="0" t="0" r="254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960" cy="499158"/>
                    </a:xfrm>
                    <a:prstGeom prst="rect">
                      <a:avLst/>
                    </a:prstGeom>
                  </pic:spPr>
                </pic:pic>
              </a:graphicData>
            </a:graphic>
            <wp14:sizeRelH relativeFrom="page">
              <wp14:pctWidth>0</wp14:pctWidth>
            </wp14:sizeRelH>
            <wp14:sizeRelV relativeFrom="page">
              <wp14:pctHeight>0</wp14:pctHeight>
            </wp14:sizeRelV>
          </wp:anchor>
        </w:drawing>
      </w:r>
      <w:r w:rsidR="00160722" w:rsidRPr="00160722">
        <w:rPr>
          <w:rFonts w:ascii="Arial Narrow" w:hAnsi="Arial Narrow"/>
          <w:sz w:val="21"/>
          <w:szCs w:val="21"/>
        </w:rPr>
        <w:t>In support of improving patient care, the University of Wisconsin–Madison ICEP is jointly accredited by the Accreditation Council for Continuing Medical Education (ACCME), the Accreditation Council for Pharmacy Education (ACPE), and the American Nurses Credentialing Center (ANCC) to provide continuing education for the healthcare team.</w:t>
      </w:r>
    </w:p>
    <w:p w14:paraId="3DE3C814" w14:textId="2192514A" w:rsidR="00D97BF0" w:rsidRDefault="00D97BF0" w:rsidP="00620A6E">
      <w:pPr>
        <w:rPr>
          <w:rFonts w:ascii="Arial Narrow" w:hAnsi="Arial Narrow"/>
          <w:sz w:val="21"/>
          <w:szCs w:val="21"/>
        </w:rPr>
      </w:pPr>
    </w:p>
    <w:p w14:paraId="4CC0185C" w14:textId="77777777" w:rsidR="00AB7F8E" w:rsidRDefault="007F1F97" w:rsidP="00620A6E">
      <w:pPr>
        <w:rPr>
          <w:rFonts w:ascii="Arial Narrow" w:hAnsi="Arial Narrow"/>
          <w:b/>
          <w:bCs/>
          <w:i/>
          <w:iCs/>
          <w:sz w:val="21"/>
          <w:szCs w:val="21"/>
          <w:u w:val="single"/>
        </w:rPr>
      </w:pPr>
      <w:r w:rsidRPr="00323404">
        <w:rPr>
          <w:rFonts w:ascii="Arial Narrow" w:hAnsi="Arial Narrow"/>
          <w:b/>
          <w:bCs/>
          <w:i/>
          <w:iCs/>
          <w:sz w:val="21"/>
          <w:szCs w:val="21"/>
          <w:u w:val="single"/>
        </w:rPr>
        <w:t>Credit Designation Statement</w:t>
      </w:r>
      <w:r w:rsidR="00E23454">
        <w:rPr>
          <w:rFonts w:ascii="Arial Narrow" w:hAnsi="Arial Narrow"/>
          <w:b/>
          <w:bCs/>
          <w:i/>
          <w:iCs/>
          <w:sz w:val="21"/>
          <w:szCs w:val="21"/>
          <w:u w:val="single"/>
        </w:rPr>
        <w:t>s</w:t>
      </w:r>
    </w:p>
    <w:p w14:paraId="6D8B3BF7" w14:textId="77777777" w:rsidR="00B5466E" w:rsidRPr="00323404" w:rsidRDefault="00B5466E" w:rsidP="00620A6E">
      <w:pPr>
        <w:rPr>
          <w:rFonts w:ascii="Arial Narrow" w:hAnsi="Arial Narrow"/>
          <w:b/>
          <w:bCs/>
          <w:i/>
          <w:iCs/>
          <w:sz w:val="21"/>
          <w:szCs w:val="21"/>
          <w:u w:val="single"/>
        </w:rPr>
      </w:pPr>
    </w:p>
    <w:p w14:paraId="44D3771E" w14:textId="2DCB8422" w:rsidR="004C1FC2" w:rsidRDefault="007F1F97" w:rsidP="00620A6E">
      <w:pPr>
        <w:rPr>
          <w:rFonts w:ascii="Arial Narrow" w:hAnsi="Arial Narrow"/>
          <w:bCs/>
          <w:iCs/>
          <w:sz w:val="21"/>
          <w:szCs w:val="21"/>
        </w:rPr>
      </w:pPr>
      <w:r w:rsidRPr="00323404">
        <w:rPr>
          <w:rFonts w:ascii="Arial Narrow" w:hAnsi="Arial Narrow"/>
          <w:bCs/>
          <w:iCs/>
          <w:sz w:val="21"/>
          <w:szCs w:val="21"/>
        </w:rPr>
        <w:t>The Universi</w:t>
      </w:r>
      <w:r w:rsidR="00B25255">
        <w:rPr>
          <w:rFonts w:ascii="Arial Narrow" w:hAnsi="Arial Narrow"/>
          <w:bCs/>
          <w:iCs/>
          <w:sz w:val="21"/>
          <w:szCs w:val="21"/>
        </w:rPr>
        <w:t xml:space="preserve">ty of Wisconsin-Madison ICEP </w:t>
      </w:r>
      <w:r w:rsidR="001F44BB" w:rsidRPr="00323404">
        <w:rPr>
          <w:rFonts w:ascii="Arial Narrow" w:hAnsi="Arial Narrow"/>
          <w:bCs/>
          <w:iCs/>
          <w:sz w:val="21"/>
          <w:szCs w:val="21"/>
        </w:rPr>
        <w:t>designates</w:t>
      </w:r>
      <w:r w:rsidRPr="00323404">
        <w:rPr>
          <w:rFonts w:ascii="Arial Narrow" w:hAnsi="Arial Narrow"/>
          <w:bCs/>
          <w:iCs/>
          <w:sz w:val="21"/>
          <w:szCs w:val="21"/>
        </w:rPr>
        <w:t xml:space="preserve"> this </w:t>
      </w:r>
      <w:r w:rsidR="00083D6F" w:rsidRPr="00323404">
        <w:rPr>
          <w:rFonts w:ascii="Arial Narrow" w:hAnsi="Arial Narrow"/>
          <w:bCs/>
          <w:iCs/>
          <w:sz w:val="21"/>
          <w:szCs w:val="21"/>
        </w:rPr>
        <w:t xml:space="preserve">live </w:t>
      </w:r>
      <w:r w:rsidR="00B96B93">
        <w:rPr>
          <w:rFonts w:ascii="Arial Narrow" w:hAnsi="Arial Narrow"/>
          <w:bCs/>
          <w:iCs/>
          <w:sz w:val="21"/>
          <w:szCs w:val="21"/>
        </w:rPr>
        <w:t>activity for a</w:t>
      </w:r>
      <w:r w:rsidRPr="00323404">
        <w:rPr>
          <w:rFonts w:ascii="Arial Narrow" w:hAnsi="Arial Narrow"/>
          <w:bCs/>
          <w:iCs/>
          <w:sz w:val="21"/>
          <w:szCs w:val="21"/>
        </w:rPr>
        <w:t xml:space="preserve"> maximum of </w:t>
      </w:r>
      <w:r w:rsidR="00002573">
        <w:rPr>
          <w:rFonts w:ascii="Arial Narrow" w:hAnsi="Arial Narrow"/>
          <w:bCs/>
          <w:iCs/>
          <w:sz w:val="21"/>
          <w:szCs w:val="21"/>
        </w:rPr>
        <w:t>1.0</w:t>
      </w:r>
      <w:r w:rsidR="005D57EB">
        <w:rPr>
          <w:rFonts w:ascii="Arial Narrow" w:hAnsi="Arial Narrow"/>
          <w:bCs/>
          <w:iCs/>
          <w:sz w:val="21"/>
          <w:szCs w:val="21"/>
        </w:rPr>
        <w:t xml:space="preserve"> </w:t>
      </w:r>
      <w:r w:rsidR="00005C06" w:rsidRPr="00323404">
        <w:rPr>
          <w:rFonts w:ascii="Arial Narrow" w:hAnsi="Arial Narrow"/>
          <w:bCs/>
          <w:i/>
          <w:iCs/>
          <w:sz w:val="21"/>
          <w:szCs w:val="21"/>
        </w:rPr>
        <w:t>AMA PR</w:t>
      </w:r>
      <w:r w:rsidR="0003310D" w:rsidRPr="00323404">
        <w:rPr>
          <w:rFonts w:ascii="Arial Narrow" w:hAnsi="Arial Narrow"/>
          <w:bCs/>
          <w:i/>
          <w:iCs/>
          <w:sz w:val="21"/>
          <w:szCs w:val="21"/>
        </w:rPr>
        <w:t>A Cate</w:t>
      </w:r>
      <w:r w:rsidRPr="00323404">
        <w:rPr>
          <w:rFonts w:ascii="Arial Narrow" w:hAnsi="Arial Narrow"/>
          <w:bCs/>
          <w:i/>
          <w:iCs/>
          <w:sz w:val="21"/>
          <w:szCs w:val="21"/>
        </w:rPr>
        <w:t>gory 1 Credit(s)</w:t>
      </w:r>
      <w:r w:rsidR="004C1FC2" w:rsidRPr="00323404">
        <w:rPr>
          <w:rFonts w:ascii="Arial Narrow" w:hAnsi="Arial Narrow"/>
          <w:bCs/>
          <w:iCs/>
          <w:sz w:val="21"/>
          <w:szCs w:val="21"/>
        </w:rPr>
        <w:sym w:font="Symbol" w:char="F0E4"/>
      </w:r>
      <w:r w:rsidR="004C1FC2" w:rsidRPr="00323404">
        <w:rPr>
          <w:rFonts w:ascii="Arial Narrow" w:hAnsi="Arial Narrow"/>
          <w:bCs/>
          <w:iCs/>
          <w:sz w:val="21"/>
          <w:szCs w:val="21"/>
        </w:rPr>
        <w:t>.</w:t>
      </w:r>
      <w:r w:rsidR="004C1FC2" w:rsidRPr="00323404">
        <w:rPr>
          <w:rFonts w:ascii="Arial Narrow" w:hAnsi="Arial Narrow"/>
          <w:bCs/>
          <w:i/>
          <w:iCs/>
          <w:sz w:val="21"/>
          <w:szCs w:val="21"/>
        </w:rPr>
        <w:t xml:space="preserve">  </w:t>
      </w:r>
      <w:r w:rsidR="00083D6F" w:rsidRPr="00323404">
        <w:rPr>
          <w:rFonts w:ascii="Arial Narrow" w:hAnsi="Arial Narrow"/>
          <w:bCs/>
          <w:iCs/>
          <w:sz w:val="21"/>
          <w:szCs w:val="21"/>
        </w:rPr>
        <w:t>Physicians should</w:t>
      </w:r>
      <w:r w:rsidR="004C1FC2" w:rsidRPr="00323404">
        <w:rPr>
          <w:rFonts w:ascii="Arial Narrow" w:hAnsi="Arial Narrow"/>
          <w:bCs/>
          <w:iCs/>
          <w:sz w:val="21"/>
          <w:szCs w:val="21"/>
        </w:rPr>
        <w:t xml:space="preserve"> claim </w:t>
      </w:r>
      <w:r w:rsidR="00083D6F" w:rsidRPr="00323404">
        <w:rPr>
          <w:rFonts w:ascii="Arial Narrow" w:hAnsi="Arial Narrow"/>
          <w:bCs/>
          <w:iCs/>
          <w:sz w:val="21"/>
          <w:szCs w:val="21"/>
        </w:rPr>
        <w:t xml:space="preserve">only the </w:t>
      </w:r>
      <w:r w:rsidR="004C1FC2" w:rsidRPr="00323404">
        <w:rPr>
          <w:rFonts w:ascii="Arial Narrow" w:hAnsi="Arial Narrow"/>
          <w:bCs/>
          <w:iCs/>
          <w:sz w:val="21"/>
          <w:szCs w:val="21"/>
        </w:rPr>
        <w:t xml:space="preserve">credit commensurate with </w:t>
      </w:r>
      <w:r w:rsidR="00F34103" w:rsidRPr="00323404">
        <w:rPr>
          <w:rFonts w:ascii="Arial Narrow" w:hAnsi="Arial Narrow"/>
          <w:bCs/>
          <w:iCs/>
          <w:sz w:val="21"/>
          <w:szCs w:val="21"/>
        </w:rPr>
        <w:t>the</w:t>
      </w:r>
      <w:r w:rsidR="004C1FC2" w:rsidRPr="00323404">
        <w:rPr>
          <w:rFonts w:ascii="Arial Narrow" w:hAnsi="Arial Narrow"/>
          <w:bCs/>
          <w:iCs/>
          <w:sz w:val="21"/>
          <w:szCs w:val="21"/>
        </w:rPr>
        <w:t xml:space="preserve"> extent of their </w:t>
      </w:r>
      <w:r w:rsidR="00010706" w:rsidRPr="00323404">
        <w:rPr>
          <w:rFonts w:ascii="Arial Narrow" w:hAnsi="Arial Narrow"/>
          <w:bCs/>
          <w:iCs/>
          <w:sz w:val="21"/>
          <w:szCs w:val="21"/>
        </w:rPr>
        <w:t>p</w:t>
      </w:r>
      <w:r w:rsidR="004C1FC2" w:rsidRPr="00323404">
        <w:rPr>
          <w:rFonts w:ascii="Arial Narrow" w:hAnsi="Arial Narrow"/>
          <w:bCs/>
          <w:iCs/>
          <w:sz w:val="21"/>
          <w:szCs w:val="21"/>
        </w:rPr>
        <w:t>articipation in the activity.</w:t>
      </w:r>
    </w:p>
    <w:p w14:paraId="6AD1CF3F" w14:textId="77777777" w:rsidR="00C319BA" w:rsidRDefault="00C319BA" w:rsidP="00620A6E">
      <w:pPr>
        <w:rPr>
          <w:rFonts w:ascii="Arial Narrow" w:hAnsi="Arial Narrow"/>
          <w:bCs/>
          <w:iCs/>
          <w:sz w:val="21"/>
          <w:szCs w:val="21"/>
        </w:rPr>
      </w:pPr>
    </w:p>
    <w:p w14:paraId="785028C8" w14:textId="4E9F2912" w:rsidR="00C319BA" w:rsidRDefault="00C319BA" w:rsidP="00620A6E">
      <w:pPr>
        <w:rPr>
          <w:rFonts w:ascii="Arial Narrow" w:hAnsi="Arial Narrow"/>
          <w:bCs/>
          <w:iCs/>
          <w:sz w:val="21"/>
          <w:szCs w:val="21"/>
        </w:rPr>
      </w:pPr>
      <w:r>
        <w:rPr>
          <w:rFonts w:ascii="Arial Narrow" w:hAnsi="Arial Narrow"/>
          <w:bCs/>
          <w:iCs/>
          <w:sz w:val="21"/>
          <w:szCs w:val="21"/>
        </w:rPr>
        <w:t xml:space="preserve">The University of Wisconsin–Madison ICEP, as a member of the University Professional &amp; Continuing Education Association (UPCEA), authorizes this Program for 0.1 CEUs or 1.0 hour. </w:t>
      </w:r>
    </w:p>
    <w:p w14:paraId="2E05519A" w14:textId="77777777" w:rsidR="006E37F0" w:rsidRDefault="006E37F0" w:rsidP="00620A6E">
      <w:pPr>
        <w:rPr>
          <w:rFonts w:ascii="Arial Narrow" w:hAnsi="Arial Narrow"/>
          <w:bCs/>
          <w:iCs/>
          <w:sz w:val="21"/>
          <w:szCs w:val="21"/>
        </w:rPr>
      </w:pPr>
    </w:p>
    <w:p w14:paraId="197F8B7B" w14:textId="473FFC0D" w:rsidR="006E37F0" w:rsidRPr="00A10357" w:rsidRDefault="006E37F0" w:rsidP="006E37F0">
      <w:pPr>
        <w:rPr>
          <w:rFonts w:ascii="Arial Narrow" w:hAnsi="Arial Narrow"/>
          <w:sz w:val="21"/>
          <w:szCs w:val="21"/>
        </w:rPr>
      </w:pPr>
    </w:p>
    <w:sectPr w:rsidR="006E37F0" w:rsidRPr="00A10357" w:rsidSect="00617A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1A31" w14:textId="77777777" w:rsidR="00BF62C6" w:rsidRDefault="00BF62C6" w:rsidP="007B005B">
      <w:r>
        <w:separator/>
      </w:r>
    </w:p>
  </w:endnote>
  <w:endnote w:type="continuationSeparator" w:id="0">
    <w:p w14:paraId="118F1CB7" w14:textId="77777777" w:rsidR="00BF62C6" w:rsidRDefault="00BF62C6" w:rsidP="007B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63A7" w14:textId="77777777" w:rsidR="00BF62C6" w:rsidRDefault="00BF62C6" w:rsidP="007B005B">
      <w:r>
        <w:separator/>
      </w:r>
    </w:p>
  </w:footnote>
  <w:footnote w:type="continuationSeparator" w:id="0">
    <w:p w14:paraId="04CA6AF3" w14:textId="77777777" w:rsidR="00BF62C6" w:rsidRDefault="00BF62C6" w:rsidP="007B0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DEB"/>
    <w:multiLevelType w:val="hybridMultilevel"/>
    <w:tmpl w:val="636474D8"/>
    <w:lvl w:ilvl="0" w:tplc="F2F0787C">
      <w:start w:val="1"/>
      <w:numFmt w:val="bullet"/>
      <w:lvlText w:val=""/>
      <w:lvlJc w:val="left"/>
      <w:pPr>
        <w:tabs>
          <w:tab w:val="num" w:pos="720"/>
        </w:tabs>
        <w:ind w:left="720" w:hanging="360"/>
      </w:pPr>
      <w:rPr>
        <w:rFonts w:ascii="Wingdings" w:hAnsi="Wingdings" w:hint="default"/>
      </w:rPr>
    </w:lvl>
    <w:lvl w:ilvl="1" w:tplc="BAA02500" w:tentative="1">
      <w:start w:val="1"/>
      <w:numFmt w:val="bullet"/>
      <w:lvlText w:val=""/>
      <w:lvlJc w:val="left"/>
      <w:pPr>
        <w:tabs>
          <w:tab w:val="num" w:pos="1440"/>
        </w:tabs>
        <w:ind w:left="1440" w:hanging="360"/>
      </w:pPr>
      <w:rPr>
        <w:rFonts w:ascii="Wingdings" w:hAnsi="Wingdings" w:hint="default"/>
      </w:rPr>
    </w:lvl>
    <w:lvl w:ilvl="2" w:tplc="DA98A7D0" w:tentative="1">
      <w:start w:val="1"/>
      <w:numFmt w:val="bullet"/>
      <w:lvlText w:val=""/>
      <w:lvlJc w:val="left"/>
      <w:pPr>
        <w:tabs>
          <w:tab w:val="num" w:pos="2160"/>
        </w:tabs>
        <w:ind w:left="2160" w:hanging="360"/>
      </w:pPr>
      <w:rPr>
        <w:rFonts w:ascii="Wingdings" w:hAnsi="Wingdings" w:hint="default"/>
      </w:rPr>
    </w:lvl>
    <w:lvl w:ilvl="3" w:tplc="4F30517A" w:tentative="1">
      <w:start w:val="1"/>
      <w:numFmt w:val="bullet"/>
      <w:lvlText w:val=""/>
      <w:lvlJc w:val="left"/>
      <w:pPr>
        <w:tabs>
          <w:tab w:val="num" w:pos="2880"/>
        </w:tabs>
        <w:ind w:left="2880" w:hanging="360"/>
      </w:pPr>
      <w:rPr>
        <w:rFonts w:ascii="Wingdings" w:hAnsi="Wingdings" w:hint="default"/>
      </w:rPr>
    </w:lvl>
    <w:lvl w:ilvl="4" w:tplc="3A320116" w:tentative="1">
      <w:start w:val="1"/>
      <w:numFmt w:val="bullet"/>
      <w:lvlText w:val=""/>
      <w:lvlJc w:val="left"/>
      <w:pPr>
        <w:tabs>
          <w:tab w:val="num" w:pos="3600"/>
        </w:tabs>
        <w:ind w:left="3600" w:hanging="360"/>
      </w:pPr>
      <w:rPr>
        <w:rFonts w:ascii="Wingdings" w:hAnsi="Wingdings" w:hint="default"/>
      </w:rPr>
    </w:lvl>
    <w:lvl w:ilvl="5" w:tplc="F850DD0C" w:tentative="1">
      <w:start w:val="1"/>
      <w:numFmt w:val="bullet"/>
      <w:lvlText w:val=""/>
      <w:lvlJc w:val="left"/>
      <w:pPr>
        <w:tabs>
          <w:tab w:val="num" w:pos="4320"/>
        </w:tabs>
        <w:ind w:left="4320" w:hanging="360"/>
      </w:pPr>
      <w:rPr>
        <w:rFonts w:ascii="Wingdings" w:hAnsi="Wingdings" w:hint="default"/>
      </w:rPr>
    </w:lvl>
    <w:lvl w:ilvl="6" w:tplc="D6F068B2" w:tentative="1">
      <w:start w:val="1"/>
      <w:numFmt w:val="bullet"/>
      <w:lvlText w:val=""/>
      <w:lvlJc w:val="left"/>
      <w:pPr>
        <w:tabs>
          <w:tab w:val="num" w:pos="5040"/>
        </w:tabs>
        <w:ind w:left="5040" w:hanging="360"/>
      </w:pPr>
      <w:rPr>
        <w:rFonts w:ascii="Wingdings" w:hAnsi="Wingdings" w:hint="default"/>
      </w:rPr>
    </w:lvl>
    <w:lvl w:ilvl="7" w:tplc="FEF8F622" w:tentative="1">
      <w:start w:val="1"/>
      <w:numFmt w:val="bullet"/>
      <w:lvlText w:val=""/>
      <w:lvlJc w:val="left"/>
      <w:pPr>
        <w:tabs>
          <w:tab w:val="num" w:pos="5760"/>
        </w:tabs>
        <w:ind w:left="5760" w:hanging="360"/>
      </w:pPr>
      <w:rPr>
        <w:rFonts w:ascii="Wingdings" w:hAnsi="Wingdings" w:hint="default"/>
      </w:rPr>
    </w:lvl>
    <w:lvl w:ilvl="8" w:tplc="225EDC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C2F69"/>
    <w:multiLevelType w:val="multilevel"/>
    <w:tmpl w:val="35649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FC190B"/>
    <w:multiLevelType w:val="hybridMultilevel"/>
    <w:tmpl w:val="C19AE4E8"/>
    <w:lvl w:ilvl="0" w:tplc="2D9E844C">
      <w:start w:val="1"/>
      <w:numFmt w:val="bullet"/>
      <w:lvlText w:val=""/>
      <w:lvlJc w:val="left"/>
      <w:pPr>
        <w:tabs>
          <w:tab w:val="num" w:pos="720"/>
        </w:tabs>
        <w:ind w:left="720" w:hanging="360"/>
      </w:pPr>
      <w:rPr>
        <w:rFonts w:ascii="Wingdings" w:hAnsi="Wingdings" w:hint="default"/>
      </w:rPr>
    </w:lvl>
    <w:lvl w:ilvl="1" w:tplc="D9A4EBFC" w:tentative="1">
      <w:start w:val="1"/>
      <w:numFmt w:val="bullet"/>
      <w:lvlText w:val=""/>
      <w:lvlJc w:val="left"/>
      <w:pPr>
        <w:tabs>
          <w:tab w:val="num" w:pos="1440"/>
        </w:tabs>
        <w:ind w:left="1440" w:hanging="360"/>
      </w:pPr>
      <w:rPr>
        <w:rFonts w:ascii="Wingdings" w:hAnsi="Wingdings" w:hint="default"/>
      </w:rPr>
    </w:lvl>
    <w:lvl w:ilvl="2" w:tplc="CF94E0D2" w:tentative="1">
      <w:start w:val="1"/>
      <w:numFmt w:val="bullet"/>
      <w:lvlText w:val=""/>
      <w:lvlJc w:val="left"/>
      <w:pPr>
        <w:tabs>
          <w:tab w:val="num" w:pos="2160"/>
        </w:tabs>
        <w:ind w:left="2160" w:hanging="360"/>
      </w:pPr>
      <w:rPr>
        <w:rFonts w:ascii="Wingdings" w:hAnsi="Wingdings" w:hint="default"/>
      </w:rPr>
    </w:lvl>
    <w:lvl w:ilvl="3" w:tplc="77B4A1E2" w:tentative="1">
      <w:start w:val="1"/>
      <w:numFmt w:val="bullet"/>
      <w:lvlText w:val=""/>
      <w:lvlJc w:val="left"/>
      <w:pPr>
        <w:tabs>
          <w:tab w:val="num" w:pos="2880"/>
        </w:tabs>
        <w:ind w:left="2880" w:hanging="360"/>
      </w:pPr>
      <w:rPr>
        <w:rFonts w:ascii="Wingdings" w:hAnsi="Wingdings" w:hint="default"/>
      </w:rPr>
    </w:lvl>
    <w:lvl w:ilvl="4" w:tplc="F6D61A6E" w:tentative="1">
      <w:start w:val="1"/>
      <w:numFmt w:val="bullet"/>
      <w:lvlText w:val=""/>
      <w:lvlJc w:val="left"/>
      <w:pPr>
        <w:tabs>
          <w:tab w:val="num" w:pos="3600"/>
        </w:tabs>
        <w:ind w:left="3600" w:hanging="360"/>
      </w:pPr>
      <w:rPr>
        <w:rFonts w:ascii="Wingdings" w:hAnsi="Wingdings" w:hint="default"/>
      </w:rPr>
    </w:lvl>
    <w:lvl w:ilvl="5" w:tplc="555298A8" w:tentative="1">
      <w:start w:val="1"/>
      <w:numFmt w:val="bullet"/>
      <w:lvlText w:val=""/>
      <w:lvlJc w:val="left"/>
      <w:pPr>
        <w:tabs>
          <w:tab w:val="num" w:pos="4320"/>
        </w:tabs>
        <w:ind w:left="4320" w:hanging="360"/>
      </w:pPr>
      <w:rPr>
        <w:rFonts w:ascii="Wingdings" w:hAnsi="Wingdings" w:hint="default"/>
      </w:rPr>
    </w:lvl>
    <w:lvl w:ilvl="6" w:tplc="D16E1AB6" w:tentative="1">
      <w:start w:val="1"/>
      <w:numFmt w:val="bullet"/>
      <w:lvlText w:val=""/>
      <w:lvlJc w:val="left"/>
      <w:pPr>
        <w:tabs>
          <w:tab w:val="num" w:pos="5040"/>
        </w:tabs>
        <w:ind w:left="5040" w:hanging="360"/>
      </w:pPr>
      <w:rPr>
        <w:rFonts w:ascii="Wingdings" w:hAnsi="Wingdings" w:hint="default"/>
      </w:rPr>
    </w:lvl>
    <w:lvl w:ilvl="7" w:tplc="2126F92C" w:tentative="1">
      <w:start w:val="1"/>
      <w:numFmt w:val="bullet"/>
      <w:lvlText w:val=""/>
      <w:lvlJc w:val="left"/>
      <w:pPr>
        <w:tabs>
          <w:tab w:val="num" w:pos="5760"/>
        </w:tabs>
        <w:ind w:left="5760" w:hanging="360"/>
      </w:pPr>
      <w:rPr>
        <w:rFonts w:ascii="Wingdings" w:hAnsi="Wingdings" w:hint="default"/>
      </w:rPr>
    </w:lvl>
    <w:lvl w:ilvl="8" w:tplc="C128BE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109F7"/>
    <w:multiLevelType w:val="hybridMultilevel"/>
    <w:tmpl w:val="F61A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042E51"/>
    <w:multiLevelType w:val="hybridMultilevel"/>
    <w:tmpl w:val="3DA0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A4BD1"/>
    <w:multiLevelType w:val="hybridMultilevel"/>
    <w:tmpl w:val="931ACE06"/>
    <w:lvl w:ilvl="0" w:tplc="5E04403C">
      <w:start w:val="1"/>
      <w:numFmt w:val="bullet"/>
      <w:lvlText w:val=""/>
      <w:lvlJc w:val="left"/>
      <w:pPr>
        <w:tabs>
          <w:tab w:val="num" w:pos="720"/>
        </w:tabs>
        <w:ind w:left="720" w:hanging="360"/>
      </w:pPr>
      <w:rPr>
        <w:rFonts w:ascii="Wingdings" w:hAnsi="Wingdings" w:hint="default"/>
      </w:rPr>
    </w:lvl>
    <w:lvl w:ilvl="1" w:tplc="D0863050" w:tentative="1">
      <w:start w:val="1"/>
      <w:numFmt w:val="bullet"/>
      <w:lvlText w:val=""/>
      <w:lvlJc w:val="left"/>
      <w:pPr>
        <w:tabs>
          <w:tab w:val="num" w:pos="1440"/>
        </w:tabs>
        <w:ind w:left="1440" w:hanging="360"/>
      </w:pPr>
      <w:rPr>
        <w:rFonts w:ascii="Wingdings" w:hAnsi="Wingdings" w:hint="default"/>
      </w:rPr>
    </w:lvl>
    <w:lvl w:ilvl="2" w:tplc="DFA2DA88" w:tentative="1">
      <w:start w:val="1"/>
      <w:numFmt w:val="bullet"/>
      <w:lvlText w:val=""/>
      <w:lvlJc w:val="left"/>
      <w:pPr>
        <w:tabs>
          <w:tab w:val="num" w:pos="2160"/>
        </w:tabs>
        <w:ind w:left="2160" w:hanging="360"/>
      </w:pPr>
      <w:rPr>
        <w:rFonts w:ascii="Wingdings" w:hAnsi="Wingdings" w:hint="default"/>
      </w:rPr>
    </w:lvl>
    <w:lvl w:ilvl="3" w:tplc="45E6E500" w:tentative="1">
      <w:start w:val="1"/>
      <w:numFmt w:val="bullet"/>
      <w:lvlText w:val=""/>
      <w:lvlJc w:val="left"/>
      <w:pPr>
        <w:tabs>
          <w:tab w:val="num" w:pos="2880"/>
        </w:tabs>
        <w:ind w:left="2880" w:hanging="360"/>
      </w:pPr>
      <w:rPr>
        <w:rFonts w:ascii="Wingdings" w:hAnsi="Wingdings" w:hint="default"/>
      </w:rPr>
    </w:lvl>
    <w:lvl w:ilvl="4" w:tplc="D6924218" w:tentative="1">
      <w:start w:val="1"/>
      <w:numFmt w:val="bullet"/>
      <w:lvlText w:val=""/>
      <w:lvlJc w:val="left"/>
      <w:pPr>
        <w:tabs>
          <w:tab w:val="num" w:pos="3600"/>
        </w:tabs>
        <w:ind w:left="3600" w:hanging="360"/>
      </w:pPr>
      <w:rPr>
        <w:rFonts w:ascii="Wingdings" w:hAnsi="Wingdings" w:hint="default"/>
      </w:rPr>
    </w:lvl>
    <w:lvl w:ilvl="5" w:tplc="0524947E" w:tentative="1">
      <w:start w:val="1"/>
      <w:numFmt w:val="bullet"/>
      <w:lvlText w:val=""/>
      <w:lvlJc w:val="left"/>
      <w:pPr>
        <w:tabs>
          <w:tab w:val="num" w:pos="4320"/>
        </w:tabs>
        <w:ind w:left="4320" w:hanging="360"/>
      </w:pPr>
      <w:rPr>
        <w:rFonts w:ascii="Wingdings" w:hAnsi="Wingdings" w:hint="default"/>
      </w:rPr>
    </w:lvl>
    <w:lvl w:ilvl="6" w:tplc="18F4903C" w:tentative="1">
      <w:start w:val="1"/>
      <w:numFmt w:val="bullet"/>
      <w:lvlText w:val=""/>
      <w:lvlJc w:val="left"/>
      <w:pPr>
        <w:tabs>
          <w:tab w:val="num" w:pos="5040"/>
        </w:tabs>
        <w:ind w:left="5040" w:hanging="360"/>
      </w:pPr>
      <w:rPr>
        <w:rFonts w:ascii="Wingdings" w:hAnsi="Wingdings" w:hint="default"/>
      </w:rPr>
    </w:lvl>
    <w:lvl w:ilvl="7" w:tplc="BBBA6C80" w:tentative="1">
      <w:start w:val="1"/>
      <w:numFmt w:val="bullet"/>
      <w:lvlText w:val=""/>
      <w:lvlJc w:val="left"/>
      <w:pPr>
        <w:tabs>
          <w:tab w:val="num" w:pos="5760"/>
        </w:tabs>
        <w:ind w:left="5760" w:hanging="360"/>
      </w:pPr>
      <w:rPr>
        <w:rFonts w:ascii="Wingdings" w:hAnsi="Wingdings" w:hint="default"/>
      </w:rPr>
    </w:lvl>
    <w:lvl w:ilvl="8" w:tplc="C25276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66D54"/>
    <w:multiLevelType w:val="hybridMultilevel"/>
    <w:tmpl w:val="22A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593"/>
    <w:multiLevelType w:val="hybridMultilevel"/>
    <w:tmpl w:val="4FD299BE"/>
    <w:lvl w:ilvl="0" w:tplc="8BACD3BC">
      <w:start w:val="1"/>
      <w:numFmt w:val="bullet"/>
      <w:lvlText w:val=""/>
      <w:lvlJc w:val="left"/>
      <w:pPr>
        <w:tabs>
          <w:tab w:val="num" w:pos="720"/>
        </w:tabs>
        <w:ind w:left="720" w:hanging="360"/>
      </w:pPr>
      <w:rPr>
        <w:rFonts w:ascii="Wingdings" w:hAnsi="Wingdings" w:hint="default"/>
      </w:rPr>
    </w:lvl>
    <w:lvl w:ilvl="1" w:tplc="702CE926" w:tentative="1">
      <w:start w:val="1"/>
      <w:numFmt w:val="bullet"/>
      <w:lvlText w:val=""/>
      <w:lvlJc w:val="left"/>
      <w:pPr>
        <w:tabs>
          <w:tab w:val="num" w:pos="1440"/>
        </w:tabs>
        <w:ind w:left="1440" w:hanging="360"/>
      </w:pPr>
      <w:rPr>
        <w:rFonts w:ascii="Wingdings" w:hAnsi="Wingdings" w:hint="default"/>
      </w:rPr>
    </w:lvl>
    <w:lvl w:ilvl="2" w:tplc="1BACFA7C" w:tentative="1">
      <w:start w:val="1"/>
      <w:numFmt w:val="bullet"/>
      <w:lvlText w:val=""/>
      <w:lvlJc w:val="left"/>
      <w:pPr>
        <w:tabs>
          <w:tab w:val="num" w:pos="2160"/>
        </w:tabs>
        <w:ind w:left="2160" w:hanging="360"/>
      </w:pPr>
      <w:rPr>
        <w:rFonts w:ascii="Wingdings" w:hAnsi="Wingdings" w:hint="default"/>
      </w:rPr>
    </w:lvl>
    <w:lvl w:ilvl="3" w:tplc="1776768C" w:tentative="1">
      <w:start w:val="1"/>
      <w:numFmt w:val="bullet"/>
      <w:lvlText w:val=""/>
      <w:lvlJc w:val="left"/>
      <w:pPr>
        <w:tabs>
          <w:tab w:val="num" w:pos="2880"/>
        </w:tabs>
        <w:ind w:left="2880" w:hanging="360"/>
      </w:pPr>
      <w:rPr>
        <w:rFonts w:ascii="Wingdings" w:hAnsi="Wingdings" w:hint="default"/>
      </w:rPr>
    </w:lvl>
    <w:lvl w:ilvl="4" w:tplc="4E7A17FC" w:tentative="1">
      <w:start w:val="1"/>
      <w:numFmt w:val="bullet"/>
      <w:lvlText w:val=""/>
      <w:lvlJc w:val="left"/>
      <w:pPr>
        <w:tabs>
          <w:tab w:val="num" w:pos="3600"/>
        </w:tabs>
        <w:ind w:left="3600" w:hanging="360"/>
      </w:pPr>
      <w:rPr>
        <w:rFonts w:ascii="Wingdings" w:hAnsi="Wingdings" w:hint="default"/>
      </w:rPr>
    </w:lvl>
    <w:lvl w:ilvl="5" w:tplc="97DA04AE" w:tentative="1">
      <w:start w:val="1"/>
      <w:numFmt w:val="bullet"/>
      <w:lvlText w:val=""/>
      <w:lvlJc w:val="left"/>
      <w:pPr>
        <w:tabs>
          <w:tab w:val="num" w:pos="4320"/>
        </w:tabs>
        <w:ind w:left="4320" w:hanging="360"/>
      </w:pPr>
      <w:rPr>
        <w:rFonts w:ascii="Wingdings" w:hAnsi="Wingdings" w:hint="default"/>
      </w:rPr>
    </w:lvl>
    <w:lvl w:ilvl="6" w:tplc="FE583668" w:tentative="1">
      <w:start w:val="1"/>
      <w:numFmt w:val="bullet"/>
      <w:lvlText w:val=""/>
      <w:lvlJc w:val="left"/>
      <w:pPr>
        <w:tabs>
          <w:tab w:val="num" w:pos="5040"/>
        </w:tabs>
        <w:ind w:left="5040" w:hanging="360"/>
      </w:pPr>
      <w:rPr>
        <w:rFonts w:ascii="Wingdings" w:hAnsi="Wingdings" w:hint="default"/>
      </w:rPr>
    </w:lvl>
    <w:lvl w:ilvl="7" w:tplc="B20E763C" w:tentative="1">
      <w:start w:val="1"/>
      <w:numFmt w:val="bullet"/>
      <w:lvlText w:val=""/>
      <w:lvlJc w:val="left"/>
      <w:pPr>
        <w:tabs>
          <w:tab w:val="num" w:pos="5760"/>
        </w:tabs>
        <w:ind w:left="5760" w:hanging="360"/>
      </w:pPr>
      <w:rPr>
        <w:rFonts w:ascii="Wingdings" w:hAnsi="Wingdings" w:hint="default"/>
      </w:rPr>
    </w:lvl>
    <w:lvl w:ilvl="8" w:tplc="62D638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B4776"/>
    <w:multiLevelType w:val="hybridMultilevel"/>
    <w:tmpl w:val="9CBA15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324D0"/>
    <w:multiLevelType w:val="multilevel"/>
    <w:tmpl w:val="E5B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50DF8"/>
    <w:multiLevelType w:val="hybridMultilevel"/>
    <w:tmpl w:val="480A2E46"/>
    <w:lvl w:ilvl="0" w:tplc="B0869924">
      <w:start w:val="1"/>
      <w:numFmt w:val="bullet"/>
      <w:lvlText w:val=""/>
      <w:lvlJc w:val="left"/>
      <w:pPr>
        <w:tabs>
          <w:tab w:val="num" w:pos="720"/>
        </w:tabs>
        <w:ind w:left="720" w:hanging="360"/>
      </w:pPr>
      <w:rPr>
        <w:rFonts w:ascii="Wingdings" w:hAnsi="Wingdings" w:hint="default"/>
      </w:rPr>
    </w:lvl>
    <w:lvl w:ilvl="1" w:tplc="A2ECA450" w:tentative="1">
      <w:start w:val="1"/>
      <w:numFmt w:val="bullet"/>
      <w:lvlText w:val=""/>
      <w:lvlJc w:val="left"/>
      <w:pPr>
        <w:tabs>
          <w:tab w:val="num" w:pos="1440"/>
        </w:tabs>
        <w:ind w:left="1440" w:hanging="360"/>
      </w:pPr>
      <w:rPr>
        <w:rFonts w:ascii="Wingdings" w:hAnsi="Wingdings" w:hint="default"/>
      </w:rPr>
    </w:lvl>
    <w:lvl w:ilvl="2" w:tplc="3F8AF0A0" w:tentative="1">
      <w:start w:val="1"/>
      <w:numFmt w:val="bullet"/>
      <w:lvlText w:val=""/>
      <w:lvlJc w:val="left"/>
      <w:pPr>
        <w:tabs>
          <w:tab w:val="num" w:pos="2160"/>
        </w:tabs>
        <w:ind w:left="2160" w:hanging="360"/>
      </w:pPr>
      <w:rPr>
        <w:rFonts w:ascii="Wingdings" w:hAnsi="Wingdings" w:hint="default"/>
      </w:rPr>
    </w:lvl>
    <w:lvl w:ilvl="3" w:tplc="BA0CE2A2" w:tentative="1">
      <w:start w:val="1"/>
      <w:numFmt w:val="bullet"/>
      <w:lvlText w:val=""/>
      <w:lvlJc w:val="left"/>
      <w:pPr>
        <w:tabs>
          <w:tab w:val="num" w:pos="2880"/>
        </w:tabs>
        <w:ind w:left="2880" w:hanging="360"/>
      </w:pPr>
      <w:rPr>
        <w:rFonts w:ascii="Wingdings" w:hAnsi="Wingdings" w:hint="default"/>
      </w:rPr>
    </w:lvl>
    <w:lvl w:ilvl="4" w:tplc="070CA31A" w:tentative="1">
      <w:start w:val="1"/>
      <w:numFmt w:val="bullet"/>
      <w:lvlText w:val=""/>
      <w:lvlJc w:val="left"/>
      <w:pPr>
        <w:tabs>
          <w:tab w:val="num" w:pos="3600"/>
        </w:tabs>
        <w:ind w:left="3600" w:hanging="360"/>
      </w:pPr>
      <w:rPr>
        <w:rFonts w:ascii="Wingdings" w:hAnsi="Wingdings" w:hint="default"/>
      </w:rPr>
    </w:lvl>
    <w:lvl w:ilvl="5" w:tplc="86005336" w:tentative="1">
      <w:start w:val="1"/>
      <w:numFmt w:val="bullet"/>
      <w:lvlText w:val=""/>
      <w:lvlJc w:val="left"/>
      <w:pPr>
        <w:tabs>
          <w:tab w:val="num" w:pos="4320"/>
        </w:tabs>
        <w:ind w:left="4320" w:hanging="360"/>
      </w:pPr>
      <w:rPr>
        <w:rFonts w:ascii="Wingdings" w:hAnsi="Wingdings" w:hint="default"/>
      </w:rPr>
    </w:lvl>
    <w:lvl w:ilvl="6" w:tplc="8E48CA9A" w:tentative="1">
      <w:start w:val="1"/>
      <w:numFmt w:val="bullet"/>
      <w:lvlText w:val=""/>
      <w:lvlJc w:val="left"/>
      <w:pPr>
        <w:tabs>
          <w:tab w:val="num" w:pos="5040"/>
        </w:tabs>
        <w:ind w:left="5040" w:hanging="360"/>
      </w:pPr>
      <w:rPr>
        <w:rFonts w:ascii="Wingdings" w:hAnsi="Wingdings" w:hint="default"/>
      </w:rPr>
    </w:lvl>
    <w:lvl w:ilvl="7" w:tplc="13E47696" w:tentative="1">
      <w:start w:val="1"/>
      <w:numFmt w:val="bullet"/>
      <w:lvlText w:val=""/>
      <w:lvlJc w:val="left"/>
      <w:pPr>
        <w:tabs>
          <w:tab w:val="num" w:pos="5760"/>
        </w:tabs>
        <w:ind w:left="5760" w:hanging="360"/>
      </w:pPr>
      <w:rPr>
        <w:rFonts w:ascii="Wingdings" w:hAnsi="Wingdings" w:hint="default"/>
      </w:rPr>
    </w:lvl>
    <w:lvl w:ilvl="8" w:tplc="C8C81C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50366"/>
    <w:multiLevelType w:val="hybridMultilevel"/>
    <w:tmpl w:val="24A2D94A"/>
    <w:lvl w:ilvl="0" w:tplc="64D6C1B0">
      <w:start w:val="1"/>
      <w:numFmt w:val="bullet"/>
      <w:lvlText w:val=""/>
      <w:lvlJc w:val="left"/>
      <w:pPr>
        <w:tabs>
          <w:tab w:val="num" w:pos="720"/>
        </w:tabs>
        <w:ind w:left="720" w:hanging="360"/>
      </w:pPr>
      <w:rPr>
        <w:rFonts w:ascii="Wingdings" w:hAnsi="Wingdings" w:hint="default"/>
      </w:rPr>
    </w:lvl>
    <w:lvl w:ilvl="1" w:tplc="F99A2318" w:tentative="1">
      <w:start w:val="1"/>
      <w:numFmt w:val="bullet"/>
      <w:lvlText w:val=""/>
      <w:lvlJc w:val="left"/>
      <w:pPr>
        <w:tabs>
          <w:tab w:val="num" w:pos="1440"/>
        </w:tabs>
        <w:ind w:left="1440" w:hanging="360"/>
      </w:pPr>
      <w:rPr>
        <w:rFonts w:ascii="Wingdings" w:hAnsi="Wingdings" w:hint="default"/>
      </w:rPr>
    </w:lvl>
    <w:lvl w:ilvl="2" w:tplc="C3005170" w:tentative="1">
      <w:start w:val="1"/>
      <w:numFmt w:val="bullet"/>
      <w:lvlText w:val=""/>
      <w:lvlJc w:val="left"/>
      <w:pPr>
        <w:tabs>
          <w:tab w:val="num" w:pos="2160"/>
        </w:tabs>
        <w:ind w:left="2160" w:hanging="360"/>
      </w:pPr>
      <w:rPr>
        <w:rFonts w:ascii="Wingdings" w:hAnsi="Wingdings" w:hint="default"/>
      </w:rPr>
    </w:lvl>
    <w:lvl w:ilvl="3" w:tplc="BCD017D8" w:tentative="1">
      <w:start w:val="1"/>
      <w:numFmt w:val="bullet"/>
      <w:lvlText w:val=""/>
      <w:lvlJc w:val="left"/>
      <w:pPr>
        <w:tabs>
          <w:tab w:val="num" w:pos="2880"/>
        </w:tabs>
        <w:ind w:left="2880" w:hanging="360"/>
      </w:pPr>
      <w:rPr>
        <w:rFonts w:ascii="Wingdings" w:hAnsi="Wingdings" w:hint="default"/>
      </w:rPr>
    </w:lvl>
    <w:lvl w:ilvl="4" w:tplc="36ACCB60" w:tentative="1">
      <w:start w:val="1"/>
      <w:numFmt w:val="bullet"/>
      <w:lvlText w:val=""/>
      <w:lvlJc w:val="left"/>
      <w:pPr>
        <w:tabs>
          <w:tab w:val="num" w:pos="3600"/>
        </w:tabs>
        <w:ind w:left="3600" w:hanging="360"/>
      </w:pPr>
      <w:rPr>
        <w:rFonts w:ascii="Wingdings" w:hAnsi="Wingdings" w:hint="default"/>
      </w:rPr>
    </w:lvl>
    <w:lvl w:ilvl="5" w:tplc="A34C4028" w:tentative="1">
      <w:start w:val="1"/>
      <w:numFmt w:val="bullet"/>
      <w:lvlText w:val=""/>
      <w:lvlJc w:val="left"/>
      <w:pPr>
        <w:tabs>
          <w:tab w:val="num" w:pos="4320"/>
        </w:tabs>
        <w:ind w:left="4320" w:hanging="360"/>
      </w:pPr>
      <w:rPr>
        <w:rFonts w:ascii="Wingdings" w:hAnsi="Wingdings" w:hint="default"/>
      </w:rPr>
    </w:lvl>
    <w:lvl w:ilvl="6" w:tplc="8A7E80AC" w:tentative="1">
      <w:start w:val="1"/>
      <w:numFmt w:val="bullet"/>
      <w:lvlText w:val=""/>
      <w:lvlJc w:val="left"/>
      <w:pPr>
        <w:tabs>
          <w:tab w:val="num" w:pos="5040"/>
        </w:tabs>
        <w:ind w:left="5040" w:hanging="360"/>
      </w:pPr>
      <w:rPr>
        <w:rFonts w:ascii="Wingdings" w:hAnsi="Wingdings" w:hint="default"/>
      </w:rPr>
    </w:lvl>
    <w:lvl w:ilvl="7" w:tplc="C45692B4" w:tentative="1">
      <w:start w:val="1"/>
      <w:numFmt w:val="bullet"/>
      <w:lvlText w:val=""/>
      <w:lvlJc w:val="left"/>
      <w:pPr>
        <w:tabs>
          <w:tab w:val="num" w:pos="5760"/>
        </w:tabs>
        <w:ind w:left="5760" w:hanging="360"/>
      </w:pPr>
      <w:rPr>
        <w:rFonts w:ascii="Wingdings" w:hAnsi="Wingdings" w:hint="default"/>
      </w:rPr>
    </w:lvl>
    <w:lvl w:ilvl="8" w:tplc="AD7283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53910"/>
    <w:multiLevelType w:val="multilevel"/>
    <w:tmpl w:val="CBF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D7330"/>
    <w:multiLevelType w:val="hybridMultilevel"/>
    <w:tmpl w:val="843A10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46739"/>
    <w:multiLevelType w:val="multilevel"/>
    <w:tmpl w:val="9F4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31EF5"/>
    <w:multiLevelType w:val="hybridMultilevel"/>
    <w:tmpl w:val="17EADF92"/>
    <w:lvl w:ilvl="0" w:tplc="75A4861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2305FF"/>
    <w:multiLevelType w:val="hybridMultilevel"/>
    <w:tmpl w:val="8924D1F6"/>
    <w:lvl w:ilvl="0" w:tplc="883E250E">
      <w:start w:val="1"/>
      <w:numFmt w:val="bullet"/>
      <w:lvlText w:val=""/>
      <w:lvlJc w:val="left"/>
      <w:pPr>
        <w:tabs>
          <w:tab w:val="num" w:pos="720"/>
        </w:tabs>
        <w:ind w:left="720" w:hanging="360"/>
      </w:pPr>
      <w:rPr>
        <w:rFonts w:ascii="Wingdings" w:hAnsi="Wingdings" w:hint="default"/>
      </w:rPr>
    </w:lvl>
    <w:lvl w:ilvl="1" w:tplc="0798C648" w:tentative="1">
      <w:start w:val="1"/>
      <w:numFmt w:val="bullet"/>
      <w:lvlText w:val=""/>
      <w:lvlJc w:val="left"/>
      <w:pPr>
        <w:tabs>
          <w:tab w:val="num" w:pos="1440"/>
        </w:tabs>
        <w:ind w:left="1440" w:hanging="360"/>
      </w:pPr>
      <w:rPr>
        <w:rFonts w:ascii="Wingdings" w:hAnsi="Wingdings" w:hint="default"/>
      </w:rPr>
    </w:lvl>
    <w:lvl w:ilvl="2" w:tplc="44502EC0" w:tentative="1">
      <w:start w:val="1"/>
      <w:numFmt w:val="bullet"/>
      <w:lvlText w:val=""/>
      <w:lvlJc w:val="left"/>
      <w:pPr>
        <w:tabs>
          <w:tab w:val="num" w:pos="2160"/>
        </w:tabs>
        <w:ind w:left="2160" w:hanging="360"/>
      </w:pPr>
      <w:rPr>
        <w:rFonts w:ascii="Wingdings" w:hAnsi="Wingdings" w:hint="default"/>
      </w:rPr>
    </w:lvl>
    <w:lvl w:ilvl="3" w:tplc="D19CF52C" w:tentative="1">
      <w:start w:val="1"/>
      <w:numFmt w:val="bullet"/>
      <w:lvlText w:val=""/>
      <w:lvlJc w:val="left"/>
      <w:pPr>
        <w:tabs>
          <w:tab w:val="num" w:pos="2880"/>
        </w:tabs>
        <w:ind w:left="2880" w:hanging="360"/>
      </w:pPr>
      <w:rPr>
        <w:rFonts w:ascii="Wingdings" w:hAnsi="Wingdings" w:hint="default"/>
      </w:rPr>
    </w:lvl>
    <w:lvl w:ilvl="4" w:tplc="6024D39A" w:tentative="1">
      <w:start w:val="1"/>
      <w:numFmt w:val="bullet"/>
      <w:lvlText w:val=""/>
      <w:lvlJc w:val="left"/>
      <w:pPr>
        <w:tabs>
          <w:tab w:val="num" w:pos="3600"/>
        </w:tabs>
        <w:ind w:left="3600" w:hanging="360"/>
      </w:pPr>
      <w:rPr>
        <w:rFonts w:ascii="Wingdings" w:hAnsi="Wingdings" w:hint="default"/>
      </w:rPr>
    </w:lvl>
    <w:lvl w:ilvl="5" w:tplc="7C960250" w:tentative="1">
      <w:start w:val="1"/>
      <w:numFmt w:val="bullet"/>
      <w:lvlText w:val=""/>
      <w:lvlJc w:val="left"/>
      <w:pPr>
        <w:tabs>
          <w:tab w:val="num" w:pos="4320"/>
        </w:tabs>
        <w:ind w:left="4320" w:hanging="360"/>
      </w:pPr>
      <w:rPr>
        <w:rFonts w:ascii="Wingdings" w:hAnsi="Wingdings" w:hint="default"/>
      </w:rPr>
    </w:lvl>
    <w:lvl w:ilvl="6" w:tplc="3386E4CA" w:tentative="1">
      <w:start w:val="1"/>
      <w:numFmt w:val="bullet"/>
      <w:lvlText w:val=""/>
      <w:lvlJc w:val="left"/>
      <w:pPr>
        <w:tabs>
          <w:tab w:val="num" w:pos="5040"/>
        </w:tabs>
        <w:ind w:left="5040" w:hanging="360"/>
      </w:pPr>
      <w:rPr>
        <w:rFonts w:ascii="Wingdings" w:hAnsi="Wingdings" w:hint="default"/>
      </w:rPr>
    </w:lvl>
    <w:lvl w:ilvl="7" w:tplc="C2469EFC" w:tentative="1">
      <w:start w:val="1"/>
      <w:numFmt w:val="bullet"/>
      <w:lvlText w:val=""/>
      <w:lvlJc w:val="left"/>
      <w:pPr>
        <w:tabs>
          <w:tab w:val="num" w:pos="5760"/>
        </w:tabs>
        <w:ind w:left="5760" w:hanging="360"/>
      </w:pPr>
      <w:rPr>
        <w:rFonts w:ascii="Wingdings" w:hAnsi="Wingdings" w:hint="default"/>
      </w:rPr>
    </w:lvl>
    <w:lvl w:ilvl="8" w:tplc="954647CC" w:tentative="1">
      <w:start w:val="1"/>
      <w:numFmt w:val="bullet"/>
      <w:lvlText w:val=""/>
      <w:lvlJc w:val="left"/>
      <w:pPr>
        <w:tabs>
          <w:tab w:val="num" w:pos="6480"/>
        </w:tabs>
        <w:ind w:left="6480" w:hanging="360"/>
      </w:pPr>
      <w:rPr>
        <w:rFonts w:ascii="Wingdings" w:hAnsi="Wingdings" w:hint="default"/>
      </w:rPr>
    </w:lvl>
  </w:abstractNum>
  <w:num w:numId="1" w16cid:durableId="1251546482">
    <w:abstractNumId w:val="3"/>
  </w:num>
  <w:num w:numId="2" w16cid:durableId="823424931">
    <w:abstractNumId w:val="18"/>
  </w:num>
  <w:num w:numId="3" w16cid:durableId="1654676838">
    <w:abstractNumId w:val="8"/>
  </w:num>
  <w:num w:numId="4" w16cid:durableId="667558455">
    <w:abstractNumId w:val="0"/>
  </w:num>
  <w:num w:numId="5" w16cid:durableId="1459253270">
    <w:abstractNumId w:val="15"/>
  </w:num>
  <w:num w:numId="6" w16cid:durableId="162546827">
    <w:abstractNumId w:val="6"/>
  </w:num>
  <w:num w:numId="7" w16cid:durableId="625507276">
    <w:abstractNumId w:val="2"/>
  </w:num>
  <w:num w:numId="8" w16cid:durableId="197858759">
    <w:abstractNumId w:val="11"/>
  </w:num>
  <w:num w:numId="9" w16cid:durableId="1185434522">
    <w:abstractNumId w:val="12"/>
  </w:num>
  <w:num w:numId="10" w16cid:durableId="1830705537">
    <w:abstractNumId w:val="9"/>
  </w:num>
  <w:num w:numId="11" w16cid:durableId="2009283417">
    <w:abstractNumId w:val="17"/>
  </w:num>
  <w:num w:numId="12" w16cid:durableId="1866288106">
    <w:abstractNumId w:val="7"/>
  </w:num>
  <w:num w:numId="13" w16cid:durableId="1209688778">
    <w:abstractNumId w:val="4"/>
  </w:num>
  <w:num w:numId="14" w16cid:durableId="2067869126">
    <w:abstractNumId w:val="4"/>
  </w:num>
  <w:num w:numId="15" w16cid:durableId="646711298">
    <w:abstractNumId w:val="13"/>
  </w:num>
  <w:num w:numId="16" w16cid:durableId="714964779">
    <w:abstractNumId w:val="14"/>
  </w:num>
  <w:num w:numId="17" w16cid:durableId="1272665184">
    <w:abstractNumId w:val="5"/>
  </w:num>
  <w:num w:numId="18" w16cid:durableId="310445370">
    <w:abstractNumId w:val="16"/>
  </w:num>
  <w:num w:numId="19" w16cid:durableId="660544146">
    <w:abstractNumId w:val="10"/>
  </w:num>
  <w:num w:numId="20" w16cid:durableId="37154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D"/>
    <w:rsid w:val="00000F12"/>
    <w:rsid w:val="00002573"/>
    <w:rsid w:val="00002EA7"/>
    <w:rsid w:val="00005C06"/>
    <w:rsid w:val="00010706"/>
    <w:rsid w:val="00015E74"/>
    <w:rsid w:val="000239C3"/>
    <w:rsid w:val="0003310D"/>
    <w:rsid w:val="00033FDE"/>
    <w:rsid w:val="00042525"/>
    <w:rsid w:val="00047E9B"/>
    <w:rsid w:val="00067120"/>
    <w:rsid w:val="0007172E"/>
    <w:rsid w:val="0007381D"/>
    <w:rsid w:val="0008063B"/>
    <w:rsid w:val="00083D6F"/>
    <w:rsid w:val="00085166"/>
    <w:rsid w:val="000851F7"/>
    <w:rsid w:val="00086177"/>
    <w:rsid w:val="0009014D"/>
    <w:rsid w:val="00090C26"/>
    <w:rsid w:val="000A7803"/>
    <w:rsid w:val="000B4CBB"/>
    <w:rsid w:val="000C04E7"/>
    <w:rsid w:val="000D672F"/>
    <w:rsid w:val="000E2AA9"/>
    <w:rsid w:val="000E2BD7"/>
    <w:rsid w:val="00101094"/>
    <w:rsid w:val="00110EED"/>
    <w:rsid w:val="001141FC"/>
    <w:rsid w:val="00131A46"/>
    <w:rsid w:val="00135466"/>
    <w:rsid w:val="00136830"/>
    <w:rsid w:val="001501F1"/>
    <w:rsid w:val="001513E9"/>
    <w:rsid w:val="00151C82"/>
    <w:rsid w:val="001536AA"/>
    <w:rsid w:val="00160722"/>
    <w:rsid w:val="00172936"/>
    <w:rsid w:val="001747A4"/>
    <w:rsid w:val="0017497A"/>
    <w:rsid w:val="00181A05"/>
    <w:rsid w:val="00182C6C"/>
    <w:rsid w:val="00184FE9"/>
    <w:rsid w:val="0018579E"/>
    <w:rsid w:val="0019656B"/>
    <w:rsid w:val="001A3A1E"/>
    <w:rsid w:val="001A5386"/>
    <w:rsid w:val="001C0B40"/>
    <w:rsid w:val="001C6AA9"/>
    <w:rsid w:val="001D261B"/>
    <w:rsid w:val="001E3094"/>
    <w:rsid w:val="001E4495"/>
    <w:rsid w:val="001E726A"/>
    <w:rsid w:val="001F44BB"/>
    <w:rsid w:val="001F7C93"/>
    <w:rsid w:val="0020220B"/>
    <w:rsid w:val="00204E2A"/>
    <w:rsid w:val="00205365"/>
    <w:rsid w:val="002146A9"/>
    <w:rsid w:val="00225881"/>
    <w:rsid w:val="0022663F"/>
    <w:rsid w:val="00230004"/>
    <w:rsid w:val="00234334"/>
    <w:rsid w:val="00235390"/>
    <w:rsid w:val="002408E3"/>
    <w:rsid w:val="00241F85"/>
    <w:rsid w:val="00261A99"/>
    <w:rsid w:val="0026476B"/>
    <w:rsid w:val="00264CB2"/>
    <w:rsid w:val="002668A6"/>
    <w:rsid w:val="0026755C"/>
    <w:rsid w:val="0027078E"/>
    <w:rsid w:val="002731C6"/>
    <w:rsid w:val="00273CF7"/>
    <w:rsid w:val="00292A82"/>
    <w:rsid w:val="002969CB"/>
    <w:rsid w:val="002A11CB"/>
    <w:rsid w:val="002A56A3"/>
    <w:rsid w:val="002B1103"/>
    <w:rsid w:val="002B5AEC"/>
    <w:rsid w:val="002E431D"/>
    <w:rsid w:val="002E617B"/>
    <w:rsid w:val="002F2C94"/>
    <w:rsid w:val="002F3450"/>
    <w:rsid w:val="002F4D03"/>
    <w:rsid w:val="002F6AA5"/>
    <w:rsid w:val="00304A99"/>
    <w:rsid w:val="00307410"/>
    <w:rsid w:val="00313E2C"/>
    <w:rsid w:val="0031521B"/>
    <w:rsid w:val="00315D00"/>
    <w:rsid w:val="00323404"/>
    <w:rsid w:val="003374A9"/>
    <w:rsid w:val="0034116A"/>
    <w:rsid w:val="003421FE"/>
    <w:rsid w:val="00345245"/>
    <w:rsid w:val="00350C0A"/>
    <w:rsid w:val="0035311F"/>
    <w:rsid w:val="00355722"/>
    <w:rsid w:val="003571CC"/>
    <w:rsid w:val="003651EB"/>
    <w:rsid w:val="00375F35"/>
    <w:rsid w:val="0038331A"/>
    <w:rsid w:val="003841D9"/>
    <w:rsid w:val="0038698E"/>
    <w:rsid w:val="003939D3"/>
    <w:rsid w:val="003A5B44"/>
    <w:rsid w:val="003B16B7"/>
    <w:rsid w:val="003B6361"/>
    <w:rsid w:val="003C681C"/>
    <w:rsid w:val="003D1D24"/>
    <w:rsid w:val="003D51C8"/>
    <w:rsid w:val="003F0095"/>
    <w:rsid w:val="003F3586"/>
    <w:rsid w:val="003F6A11"/>
    <w:rsid w:val="00402C62"/>
    <w:rsid w:val="00405403"/>
    <w:rsid w:val="00405603"/>
    <w:rsid w:val="004208C7"/>
    <w:rsid w:val="00420B9C"/>
    <w:rsid w:val="00421D00"/>
    <w:rsid w:val="004239DB"/>
    <w:rsid w:val="00426258"/>
    <w:rsid w:val="004264EF"/>
    <w:rsid w:val="0043076D"/>
    <w:rsid w:val="00440F04"/>
    <w:rsid w:val="00450ACA"/>
    <w:rsid w:val="00453BAC"/>
    <w:rsid w:val="004552A9"/>
    <w:rsid w:val="004601A8"/>
    <w:rsid w:val="00471A5B"/>
    <w:rsid w:val="0047481D"/>
    <w:rsid w:val="00481FC2"/>
    <w:rsid w:val="00482CD1"/>
    <w:rsid w:val="004962D8"/>
    <w:rsid w:val="004A6273"/>
    <w:rsid w:val="004A636E"/>
    <w:rsid w:val="004B5027"/>
    <w:rsid w:val="004C1FC2"/>
    <w:rsid w:val="004C2573"/>
    <w:rsid w:val="004C6447"/>
    <w:rsid w:val="004E156E"/>
    <w:rsid w:val="004E699D"/>
    <w:rsid w:val="004F0A0A"/>
    <w:rsid w:val="004F2A41"/>
    <w:rsid w:val="004F3625"/>
    <w:rsid w:val="004F6EFD"/>
    <w:rsid w:val="005012CF"/>
    <w:rsid w:val="005042E2"/>
    <w:rsid w:val="00504F21"/>
    <w:rsid w:val="00514AA2"/>
    <w:rsid w:val="00531AAF"/>
    <w:rsid w:val="005368C0"/>
    <w:rsid w:val="0054407D"/>
    <w:rsid w:val="0054573D"/>
    <w:rsid w:val="00547F89"/>
    <w:rsid w:val="0055032A"/>
    <w:rsid w:val="00564FBA"/>
    <w:rsid w:val="00593F7C"/>
    <w:rsid w:val="005A14AC"/>
    <w:rsid w:val="005A3658"/>
    <w:rsid w:val="005B3927"/>
    <w:rsid w:val="005B6900"/>
    <w:rsid w:val="005C0849"/>
    <w:rsid w:val="005D38E5"/>
    <w:rsid w:val="005D57EB"/>
    <w:rsid w:val="005F156C"/>
    <w:rsid w:val="005F2CBD"/>
    <w:rsid w:val="005F792D"/>
    <w:rsid w:val="006006A3"/>
    <w:rsid w:val="00611BB2"/>
    <w:rsid w:val="00614820"/>
    <w:rsid w:val="00617A42"/>
    <w:rsid w:val="00620A6E"/>
    <w:rsid w:val="00623F61"/>
    <w:rsid w:val="0062470F"/>
    <w:rsid w:val="00626F9B"/>
    <w:rsid w:val="00634378"/>
    <w:rsid w:val="00634461"/>
    <w:rsid w:val="00635D49"/>
    <w:rsid w:val="00637B5A"/>
    <w:rsid w:val="00646964"/>
    <w:rsid w:val="00651EAA"/>
    <w:rsid w:val="00652144"/>
    <w:rsid w:val="00652F90"/>
    <w:rsid w:val="00662B81"/>
    <w:rsid w:val="0066455B"/>
    <w:rsid w:val="0066618A"/>
    <w:rsid w:val="00666E6B"/>
    <w:rsid w:val="0067019B"/>
    <w:rsid w:val="00673B6F"/>
    <w:rsid w:val="00682C72"/>
    <w:rsid w:val="00686A4D"/>
    <w:rsid w:val="00694CE6"/>
    <w:rsid w:val="006952BE"/>
    <w:rsid w:val="006A0282"/>
    <w:rsid w:val="006A0CC4"/>
    <w:rsid w:val="006A2669"/>
    <w:rsid w:val="006A2E18"/>
    <w:rsid w:val="006A38AF"/>
    <w:rsid w:val="006A481C"/>
    <w:rsid w:val="006A618F"/>
    <w:rsid w:val="006B51E1"/>
    <w:rsid w:val="006B58C9"/>
    <w:rsid w:val="006B6EF0"/>
    <w:rsid w:val="006C35DA"/>
    <w:rsid w:val="006D0CCC"/>
    <w:rsid w:val="006D2D82"/>
    <w:rsid w:val="006D35B2"/>
    <w:rsid w:val="006D3DF7"/>
    <w:rsid w:val="006D44DD"/>
    <w:rsid w:val="006D65ED"/>
    <w:rsid w:val="006D662D"/>
    <w:rsid w:val="006E1FA1"/>
    <w:rsid w:val="006E37F0"/>
    <w:rsid w:val="00715C05"/>
    <w:rsid w:val="00724723"/>
    <w:rsid w:val="00725D27"/>
    <w:rsid w:val="00740259"/>
    <w:rsid w:val="00741462"/>
    <w:rsid w:val="007501A0"/>
    <w:rsid w:val="00753F4A"/>
    <w:rsid w:val="00767AC3"/>
    <w:rsid w:val="00770BF5"/>
    <w:rsid w:val="007735EB"/>
    <w:rsid w:val="007755DA"/>
    <w:rsid w:val="00782D2E"/>
    <w:rsid w:val="007830F6"/>
    <w:rsid w:val="00783563"/>
    <w:rsid w:val="007857FF"/>
    <w:rsid w:val="007876A1"/>
    <w:rsid w:val="00791988"/>
    <w:rsid w:val="007A00E3"/>
    <w:rsid w:val="007A63CB"/>
    <w:rsid w:val="007B005B"/>
    <w:rsid w:val="007B11AA"/>
    <w:rsid w:val="007B4B60"/>
    <w:rsid w:val="007B5AFA"/>
    <w:rsid w:val="007B6BE6"/>
    <w:rsid w:val="007D0860"/>
    <w:rsid w:val="007D5A4A"/>
    <w:rsid w:val="007E0CDB"/>
    <w:rsid w:val="007E255A"/>
    <w:rsid w:val="007F1F97"/>
    <w:rsid w:val="00805D22"/>
    <w:rsid w:val="00813A0F"/>
    <w:rsid w:val="00821F7B"/>
    <w:rsid w:val="00830591"/>
    <w:rsid w:val="00837ED0"/>
    <w:rsid w:val="00837F68"/>
    <w:rsid w:val="00845253"/>
    <w:rsid w:val="00861382"/>
    <w:rsid w:val="008730FD"/>
    <w:rsid w:val="0088057E"/>
    <w:rsid w:val="008832F4"/>
    <w:rsid w:val="00883917"/>
    <w:rsid w:val="00886A19"/>
    <w:rsid w:val="00891F63"/>
    <w:rsid w:val="00894BA5"/>
    <w:rsid w:val="00895B74"/>
    <w:rsid w:val="008A08EC"/>
    <w:rsid w:val="008B485D"/>
    <w:rsid w:val="008C7869"/>
    <w:rsid w:val="008D185D"/>
    <w:rsid w:val="008D5437"/>
    <w:rsid w:val="008D61AA"/>
    <w:rsid w:val="008E09B8"/>
    <w:rsid w:val="008E3027"/>
    <w:rsid w:val="008E3AE9"/>
    <w:rsid w:val="008E7D11"/>
    <w:rsid w:val="008F0A67"/>
    <w:rsid w:val="0091190E"/>
    <w:rsid w:val="00913108"/>
    <w:rsid w:val="0091451E"/>
    <w:rsid w:val="009174E6"/>
    <w:rsid w:val="00945D22"/>
    <w:rsid w:val="00947707"/>
    <w:rsid w:val="00955A46"/>
    <w:rsid w:val="00982101"/>
    <w:rsid w:val="00985105"/>
    <w:rsid w:val="009874DE"/>
    <w:rsid w:val="009907B5"/>
    <w:rsid w:val="00993B21"/>
    <w:rsid w:val="009A285D"/>
    <w:rsid w:val="009A521E"/>
    <w:rsid w:val="009E53C6"/>
    <w:rsid w:val="009F11B4"/>
    <w:rsid w:val="009F761A"/>
    <w:rsid w:val="00A029A8"/>
    <w:rsid w:val="00A04051"/>
    <w:rsid w:val="00A10357"/>
    <w:rsid w:val="00A113E9"/>
    <w:rsid w:val="00A131EC"/>
    <w:rsid w:val="00A1566A"/>
    <w:rsid w:val="00A24366"/>
    <w:rsid w:val="00A2521C"/>
    <w:rsid w:val="00A26323"/>
    <w:rsid w:val="00A26420"/>
    <w:rsid w:val="00A2652A"/>
    <w:rsid w:val="00A341C2"/>
    <w:rsid w:val="00A5130F"/>
    <w:rsid w:val="00A61E32"/>
    <w:rsid w:val="00A62F8E"/>
    <w:rsid w:val="00A65A64"/>
    <w:rsid w:val="00A6698B"/>
    <w:rsid w:val="00A77BCE"/>
    <w:rsid w:val="00A9138B"/>
    <w:rsid w:val="00AA1E51"/>
    <w:rsid w:val="00AB0489"/>
    <w:rsid w:val="00AB31F1"/>
    <w:rsid w:val="00AB413B"/>
    <w:rsid w:val="00AB6EC3"/>
    <w:rsid w:val="00AB7F8E"/>
    <w:rsid w:val="00AC5080"/>
    <w:rsid w:val="00AE54A1"/>
    <w:rsid w:val="00B003E7"/>
    <w:rsid w:val="00B018A0"/>
    <w:rsid w:val="00B107D1"/>
    <w:rsid w:val="00B13F5F"/>
    <w:rsid w:val="00B15D88"/>
    <w:rsid w:val="00B1726C"/>
    <w:rsid w:val="00B17513"/>
    <w:rsid w:val="00B2198A"/>
    <w:rsid w:val="00B25255"/>
    <w:rsid w:val="00B303BB"/>
    <w:rsid w:val="00B33639"/>
    <w:rsid w:val="00B34BC9"/>
    <w:rsid w:val="00B373F1"/>
    <w:rsid w:val="00B45395"/>
    <w:rsid w:val="00B4730B"/>
    <w:rsid w:val="00B5466E"/>
    <w:rsid w:val="00B56875"/>
    <w:rsid w:val="00B576E4"/>
    <w:rsid w:val="00B57E61"/>
    <w:rsid w:val="00B60307"/>
    <w:rsid w:val="00B64B52"/>
    <w:rsid w:val="00B7191A"/>
    <w:rsid w:val="00B734B5"/>
    <w:rsid w:val="00B7763B"/>
    <w:rsid w:val="00B81134"/>
    <w:rsid w:val="00B96B67"/>
    <w:rsid w:val="00B96B93"/>
    <w:rsid w:val="00BB2E1B"/>
    <w:rsid w:val="00BB68A6"/>
    <w:rsid w:val="00BC4316"/>
    <w:rsid w:val="00BD372F"/>
    <w:rsid w:val="00BE0863"/>
    <w:rsid w:val="00BF2A3D"/>
    <w:rsid w:val="00BF62C6"/>
    <w:rsid w:val="00BF7F74"/>
    <w:rsid w:val="00C01AAC"/>
    <w:rsid w:val="00C17D83"/>
    <w:rsid w:val="00C20C96"/>
    <w:rsid w:val="00C319BA"/>
    <w:rsid w:val="00C45BDA"/>
    <w:rsid w:val="00C52269"/>
    <w:rsid w:val="00C83223"/>
    <w:rsid w:val="00C836D8"/>
    <w:rsid w:val="00C85C79"/>
    <w:rsid w:val="00CA10A9"/>
    <w:rsid w:val="00CA46BB"/>
    <w:rsid w:val="00CA743A"/>
    <w:rsid w:val="00CA7FB6"/>
    <w:rsid w:val="00CB1F3C"/>
    <w:rsid w:val="00CB4A82"/>
    <w:rsid w:val="00CB5D04"/>
    <w:rsid w:val="00CB6A3D"/>
    <w:rsid w:val="00CB7322"/>
    <w:rsid w:val="00CB7EE0"/>
    <w:rsid w:val="00CC1573"/>
    <w:rsid w:val="00CC1BC4"/>
    <w:rsid w:val="00CE57A5"/>
    <w:rsid w:val="00CF2068"/>
    <w:rsid w:val="00D007D9"/>
    <w:rsid w:val="00D077E0"/>
    <w:rsid w:val="00D079FF"/>
    <w:rsid w:val="00D07FF9"/>
    <w:rsid w:val="00D10B72"/>
    <w:rsid w:val="00D15B0C"/>
    <w:rsid w:val="00D2181E"/>
    <w:rsid w:val="00D24202"/>
    <w:rsid w:val="00D24A45"/>
    <w:rsid w:val="00D27E75"/>
    <w:rsid w:val="00D332C1"/>
    <w:rsid w:val="00D35BF1"/>
    <w:rsid w:val="00D40A6D"/>
    <w:rsid w:val="00D42C6D"/>
    <w:rsid w:val="00D42F83"/>
    <w:rsid w:val="00D46077"/>
    <w:rsid w:val="00D4631D"/>
    <w:rsid w:val="00D50CBA"/>
    <w:rsid w:val="00D5202D"/>
    <w:rsid w:val="00D53052"/>
    <w:rsid w:val="00D562EC"/>
    <w:rsid w:val="00D5797B"/>
    <w:rsid w:val="00D621B8"/>
    <w:rsid w:val="00D75225"/>
    <w:rsid w:val="00D9351A"/>
    <w:rsid w:val="00D97BF0"/>
    <w:rsid w:val="00DA33EE"/>
    <w:rsid w:val="00DA640F"/>
    <w:rsid w:val="00DB0C5A"/>
    <w:rsid w:val="00DC18BE"/>
    <w:rsid w:val="00DC1AB0"/>
    <w:rsid w:val="00DC2D43"/>
    <w:rsid w:val="00DC737E"/>
    <w:rsid w:val="00DE2159"/>
    <w:rsid w:val="00DE71FA"/>
    <w:rsid w:val="00DF21AB"/>
    <w:rsid w:val="00E03110"/>
    <w:rsid w:val="00E11BB5"/>
    <w:rsid w:val="00E1263E"/>
    <w:rsid w:val="00E129A3"/>
    <w:rsid w:val="00E23454"/>
    <w:rsid w:val="00E23B0C"/>
    <w:rsid w:val="00E24B1E"/>
    <w:rsid w:val="00E330E3"/>
    <w:rsid w:val="00E3360B"/>
    <w:rsid w:val="00E407DB"/>
    <w:rsid w:val="00E44C0E"/>
    <w:rsid w:val="00E45EF4"/>
    <w:rsid w:val="00E549B8"/>
    <w:rsid w:val="00E629E3"/>
    <w:rsid w:val="00E72324"/>
    <w:rsid w:val="00E818E4"/>
    <w:rsid w:val="00E83AEE"/>
    <w:rsid w:val="00E85227"/>
    <w:rsid w:val="00EA51C8"/>
    <w:rsid w:val="00EB0FC0"/>
    <w:rsid w:val="00EB4659"/>
    <w:rsid w:val="00EB77BF"/>
    <w:rsid w:val="00EC0AD8"/>
    <w:rsid w:val="00EC5EDC"/>
    <w:rsid w:val="00EE5192"/>
    <w:rsid w:val="00EF4927"/>
    <w:rsid w:val="00EF7E06"/>
    <w:rsid w:val="00F12EDC"/>
    <w:rsid w:val="00F1669A"/>
    <w:rsid w:val="00F2727F"/>
    <w:rsid w:val="00F34103"/>
    <w:rsid w:val="00F35DBD"/>
    <w:rsid w:val="00F435BC"/>
    <w:rsid w:val="00F474E6"/>
    <w:rsid w:val="00F72D6B"/>
    <w:rsid w:val="00F768B9"/>
    <w:rsid w:val="00F856DE"/>
    <w:rsid w:val="00F9229F"/>
    <w:rsid w:val="00F9253E"/>
    <w:rsid w:val="00FB736A"/>
    <w:rsid w:val="00FC0962"/>
    <w:rsid w:val="00FD2B87"/>
    <w:rsid w:val="00FE7F2B"/>
    <w:rsid w:val="00FF1F20"/>
    <w:rsid w:val="00FF4528"/>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9FF8"/>
  <w15:chartTrackingRefBased/>
  <w15:docId w15:val="{DC54FB18-E6E5-41CE-87E2-5719152B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C0A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1D261B"/>
    <w:pPr>
      <w:keepNext/>
      <w:widowControl w:val="0"/>
      <w:outlineLvl w:val="3"/>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2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1D261B"/>
    <w:pPr>
      <w:widowControl w:val="0"/>
      <w:ind w:left="720"/>
    </w:pPr>
    <w:rPr>
      <w:rFonts w:ascii="Times New Roman" w:hAnsi="Times New Roman"/>
      <w:sz w:val="22"/>
      <w:szCs w:val="20"/>
    </w:rPr>
  </w:style>
  <w:style w:type="paragraph" w:styleId="DocumentMap">
    <w:name w:val="Document Map"/>
    <w:basedOn w:val="Normal"/>
    <w:semiHidden/>
    <w:rsid w:val="00783563"/>
    <w:pPr>
      <w:shd w:val="clear" w:color="auto" w:fill="000080"/>
    </w:pPr>
    <w:rPr>
      <w:rFonts w:ascii="Tahoma" w:hAnsi="Tahoma" w:cs="Tahoma"/>
      <w:sz w:val="20"/>
      <w:szCs w:val="20"/>
    </w:rPr>
  </w:style>
  <w:style w:type="paragraph" w:customStyle="1" w:styleId="1AutoList1">
    <w:name w:val="1AutoList1"/>
    <w:uiPriority w:val="99"/>
    <w:rsid w:val="00741462"/>
    <w:pPr>
      <w:widowControl w:val="0"/>
      <w:tabs>
        <w:tab w:val="left" w:pos="720"/>
      </w:tabs>
      <w:autoSpaceDE w:val="0"/>
      <w:autoSpaceDN w:val="0"/>
      <w:adjustRightInd w:val="0"/>
      <w:ind w:left="720" w:hanging="720"/>
      <w:jc w:val="both"/>
    </w:pPr>
    <w:rPr>
      <w:szCs w:val="24"/>
    </w:rPr>
  </w:style>
  <w:style w:type="paragraph" w:customStyle="1" w:styleId="msolistparagraph0">
    <w:name w:val="msolistparagraph"/>
    <w:basedOn w:val="Normal"/>
    <w:rsid w:val="00741462"/>
    <w:pPr>
      <w:ind w:left="720"/>
    </w:pPr>
    <w:rPr>
      <w:rFonts w:ascii="Calibri" w:hAnsi="Calibri"/>
      <w:sz w:val="22"/>
      <w:szCs w:val="22"/>
    </w:rPr>
  </w:style>
  <w:style w:type="table" w:styleId="TableGrid">
    <w:name w:val="Table Grid"/>
    <w:basedOn w:val="TableNormal"/>
    <w:rsid w:val="009A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521E"/>
    <w:rPr>
      <w:b/>
      <w:bCs/>
    </w:rPr>
  </w:style>
  <w:style w:type="paragraph" w:styleId="BalloonText">
    <w:name w:val="Balloon Text"/>
    <w:basedOn w:val="Normal"/>
    <w:link w:val="BalloonTextChar"/>
    <w:rsid w:val="00E83AEE"/>
    <w:rPr>
      <w:rFonts w:ascii="Tahoma" w:hAnsi="Tahoma" w:cs="Tahoma"/>
      <w:sz w:val="16"/>
      <w:szCs w:val="16"/>
    </w:rPr>
  </w:style>
  <w:style w:type="character" w:customStyle="1" w:styleId="BalloonTextChar">
    <w:name w:val="Balloon Text Char"/>
    <w:link w:val="BalloonText"/>
    <w:rsid w:val="00E83AEE"/>
    <w:rPr>
      <w:rFonts w:ascii="Tahoma" w:hAnsi="Tahoma" w:cs="Tahoma"/>
      <w:sz w:val="16"/>
      <w:szCs w:val="16"/>
    </w:rPr>
  </w:style>
  <w:style w:type="paragraph" w:styleId="ListParagraph">
    <w:name w:val="List Paragraph"/>
    <w:basedOn w:val="Normal"/>
    <w:uiPriority w:val="34"/>
    <w:qFormat/>
    <w:rsid w:val="00617A42"/>
    <w:pPr>
      <w:ind w:left="720"/>
    </w:pPr>
    <w:rPr>
      <w:rFonts w:ascii="Calibri" w:eastAsia="Calibri" w:hAnsi="Calibri" w:cs="Calibri"/>
      <w:sz w:val="22"/>
      <w:szCs w:val="22"/>
    </w:rPr>
  </w:style>
  <w:style w:type="paragraph" w:styleId="NormalWeb">
    <w:name w:val="Normal (Web)"/>
    <w:basedOn w:val="Normal"/>
    <w:uiPriority w:val="99"/>
    <w:unhideWhenUsed/>
    <w:rsid w:val="00160722"/>
    <w:pPr>
      <w:spacing w:before="100" w:beforeAutospacing="1" w:after="100" w:afterAutospacing="1"/>
    </w:pPr>
    <w:rPr>
      <w:rFonts w:ascii="Times New Roman" w:hAnsi="Times New Roman"/>
    </w:rPr>
  </w:style>
  <w:style w:type="paragraph" w:styleId="Header">
    <w:name w:val="header"/>
    <w:basedOn w:val="Normal"/>
    <w:link w:val="HeaderChar"/>
    <w:rsid w:val="007B005B"/>
    <w:pPr>
      <w:tabs>
        <w:tab w:val="center" w:pos="4680"/>
        <w:tab w:val="right" w:pos="9360"/>
      </w:tabs>
    </w:pPr>
  </w:style>
  <w:style w:type="character" w:customStyle="1" w:styleId="HeaderChar">
    <w:name w:val="Header Char"/>
    <w:link w:val="Header"/>
    <w:rsid w:val="007B005B"/>
    <w:rPr>
      <w:rFonts w:ascii="Arial" w:hAnsi="Arial"/>
      <w:sz w:val="24"/>
      <w:szCs w:val="24"/>
    </w:rPr>
  </w:style>
  <w:style w:type="paragraph" w:styleId="Footer">
    <w:name w:val="footer"/>
    <w:basedOn w:val="Normal"/>
    <w:link w:val="FooterChar"/>
    <w:rsid w:val="007B005B"/>
    <w:pPr>
      <w:tabs>
        <w:tab w:val="center" w:pos="4680"/>
        <w:tab w:val="right" w:pos="9360"/>
      </w:tabs>
    </w:pPr>
  </w:style>
  <w:style w:type="character" w:customStyle="1" w:styleId="FooterChar">
    <w:name w:val="Footer Char"/>
    <w:link w:val="Footer"/>
    <w:rsid w:val="007B005B"/>
    <w:rPr>
      <w:rFonts w:ascii="Arial" w:hAnsi="Arial"/>
      <w:sz w:val="24"/>
      <w:szCs w:val="24"/>
    </w:rPr>
  </w:style>
  <w:style w:type="character" w:customStyle="1" w:styleId="Heading1Char">
    <w:name w:val="Heading 1 Char"/>
    <w:basedOn w:val="DefaultParagraphFont"/>
    <w:link w:val="Heading1"/>
    <w:rsid w:val="00EC0A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6E37F0"/>
    <w:rPr>
      <w:color w:val="0563C1" w:themeColor="hyperlink"/>
      <w:u w:val="single"/>
    </w:rPr>
  </w:style>
  <w:style w:type="character" w:styleId="UnresolvedMention">
    <w:name w:val="Unresolved Mention"/>
    <w:basedOn w:val="DefaultParagraphFont"/>
    <w:uiPriority w:val="99"/>
    <w:semiHidden/>
    <w:unhideWhenUsed/>
    <w:rsid w:val="006E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9891">
      <w:bodyDiv w:val="1"/>
      <w:marLeft w:val="0"/>
      <w:marRight w:val="0"/>
      <w:marTop w:val="0"/>
      <w:marBottom w:val="0"/>
      <w:divBdr>
        <w:top w:val="none" w:sz="0" w:space="0" w:color="auto"/>
        <w:left w:val="none" w:sz="0" w:space="0" w:color="auto"/>
        <w:bottom w:val="none" w:sz="0" w:space="0" w:color="auto"/>
        <w:right w:val="none" w:sz="0" w:space="0" w:color="auto"/>
      </w:divBdr>
      <w:divsChild>
        <w:div w:id="1756853263">
          <w:marLeft w:val="0"/>
          <w:marRight w:val="0"/>
          <w:marTop w:val="0"/>
          <w:marBottom w:val="0"/>
          <w:divBdr>
            <w:top w:val="none" w:sz="0" w:space="0" w:color="auto"/>
            <w:left w:val="none" w:sz="0" w:space="0" w:color="auto"/>
            <w:bottom w:val="none" w:sz="0" w:space="0" w:color="auto"/>
            <w:right w:val="none" w:sz="0" w:space="0" w:color="auto"/>
          </w:divBdr>
          <w:divsChild>
            <w:div w:id="409237799">
              <w:marLeft w:val="0"/>
              <w:marRight w:val="0"/>
              <w:marTop w:val="0"/>
              <w:marBottom w:val="0"/>
              <w:divBdr>
                <w:top w:val="none" w:sz="0" w:space="0" w:color="auto"/>
                <w:left w:val="none" w:sz="0" w:space="0" w:color="auto"/>
                <w:bottom w:val="none" w:sz="0" w:space="0" w:color="auto"/>
                <w:right w:val="none" w:sz="0" w:space="0" w:color="auto"/>
              </w:divBdr>
            </w:div>
            <w:div w:id="1024091360">
              <w:marLeft w:val="0"/>
              <w:marRight w:val="0"/>
              <w:marTop w:val="0"/>
              <w:marBottom w:val="0"/>
              <w:divBdr>
                <w:top w:val="none" w:sz="0" w:space="0" w:color="auto"/>
                <w:left w:val="none" w:sz="0" w:space="0" w:color="auto"/>
                <w:bottom w:val="none" w:sz="0" w:space="0" w:color="auto"/>
                <w:right w:val="none" w:sz="0" w:space="0" w:color="auto"/>
              </w:divBdr>
            </w:div>
            <w:div w:id="1172836907">
              <w:marLeft w:val="0"/>
              <w:marRight w:val="0"/>
              <w:marTop w:val="0"/>
              <w:marBottom w:val="0"/>
              <w:divBdr>
                <w:top w:val="none" w:sz="0" w:space="0" w:color="auto"/>
                <w:left w:val="none" w:sz="0" w:space="0" w:color="auto"/>
                <w:bottom w:val="none" w:sz="0" w:space="0" w:color="auto"/>
                <w:right w:val="none" w:sz="0" w:space="0" w:color="auto"/>
              </w:divBdr>
            </w:div>
            <w:div w:id="1174615378">
              <w:marLeft w:val="0"/>
              <w:marRight w:val="0"/>
              <w:marTop w:val="0"/>
              <w:marBottom w:val="0"/>
              <w:divBdr>
                <w:top w:val="none" w:sz="0" w:space="0" w:color="auto"/>
                <w:left w:val="none" w:sz="0" w:space="0" w:color="auto"/>
                <w:bottom w:val="none" w:sz="0" w:space="0" w:color="auto"/>
                <w:right w:val="none" w:sz="0" w:space="0" w:color="auto"/>
              </w:divBdr>
            </w:div>
            <w:div w:id="1500657643">
              <w:marLeft w:val="0"/>
              <w:marRight w:val="0"/>
              <w:marTop w:val="0"/>
              <w:marBottom w:val="0"/>
              <w:divBdr>
                <w:top w:val="none" w:sz="0" w:space="0" w:color="auto"/>
                <w:left w:val="none" w:sz="0" w:space="0" w:color="auto"/>
                <w:bottom w:val="none" w:sz="0" w:space="0" w:color="auto"/>
                <w:right w:val="none" w:sz="0" w:space="0" w:color="auto"/>
              </w:divBdr>
            </w:div>
            <w:div w:id="1537892965">
              <w:marLeft w:val="0"/>
              <w:marRight w:val="0"/>
              <w:marTop w:val="0"/>
              <w:marBottom w:val="0"/>
              <w:divBdr>
                <w:top w:val="none" w:sz="0" w:space="0" w:color="auto"/>
                <w:left w:val="none" w:sz="0" w:space="0" w:color="auto"/>
                <w:bottom w:val="none" w:sz="0" w:space="0" w:color="auto"/>
                <w:right w:val="none" w:sz="0" w:space="0" w:color="auto"/>
              </w:divBdr>
            </w:div>
            <w:div w:id="2030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6925">
      <w:bodyDiv w:val="1"/>
      <w:marLeft w:val="0"/>
      <w:marRight w:val="0"/>
      <w:marTop w:val="0"/>
      <w:marBottom w:val="0"/>
      <w:divBdr>
        <w:top w:val="none" w:sz="0" w:space="0" w:color="auto"/>
        <w:left w:val="none" w:sz="0" w:space="0" w:color="auto"/>
        <w:bottom w:val="none" w:sz="0" w:space="0" w:color="auto"/>
        <w:right w:val="none" w:sz="0" w:space="0" w:color="auto"/>
      </w:divBdr>
    </w:div>
    <w:div w:id="406270620">
      <w:bodyDiv w:val="1"/>
      <w:marLeft w:val="0"/>
      <w:marRight w:val="0"/>
      <w:marTop w:val="0"/>
      <w:marBottom w:val="0"/>
      <w:divBdr>
        <w:top w:val="none" w:sz="0" w:space="0" w:color="auto"/>
        <w:left w:val="none" w:sz="0" w:space="0" w:color="auto"/>
        <w:bottom w:val="none" w:sz="0" w:space="0" w:color="auto"/>
        <w:right w:val="none" w:sz="0" w:space="0" w:color="auto"/>
      </w:divBdr>
    </w:div>
    <w:div w:id="557011665">
      <w:bodyDiv w:val="1"/>
      <w:marLeft w:val="0"/>
      <w:marRight w:val="0"/>
      <w:marTop w:val="0"/>
      <w:marBottom w:val="0"/>
      <w:divBdr>
        <w:top w:val="none" w:sz="0" w:space="0" w:color="auto"/>
        <w:left w:val="none" w:sz="0" w:space="0" w:color="auto"/>
        <w:bottom w:val="none" w:sz="0" w:space="0" w:color="auto"/>
        <w:right w:val="none" w:sz="0" w:space="0" w:color="auto"/>
      </w:divBdr>
    </w:div>
    <w:div w:id="856623031">
      <w:bodyDiv w:val="1"/>
      <w:marLeft w:val="0"/>
      <w:marRight w:val="0"/>
      <w:marTop w:val="0"/>
      <w:marBottom w:val="0"/>
      <w:divBdr>
        <w:top w:val="none" w:sz="0" w:space="0" w:color="auto"/>
        <w:left w:val="none" w:sz="0" w:space="0" w:color="auto"/>
        <w:bottom w:val="none" w:sz="0" w:space="0" w:color="auto"/>
        <w:right w:val="none" w:sz="0" w:space="0" w:color="auto"/>
      </w:divBdr>
    </w:div>
    <w:div w:id="1050032150">
      <w:bodyDiv w:val="1"/>
      <w:marLeft w:val="0"/>
      <w:marRight w:val="0"/>
      <w:marTop w:val="0"/>
      <w:marBottom w:val="0"/>
      <w:divBdr>
        <w:top w:val="none" w:sz="0" w:space="0" w:color="auto"/>
        <w:left w:val="none" w:sz="0" w:space="0" w:color="auto"/>
        <w:bottom w:val="none" w:sz="0" w:space="0" w:color="auto"/>
        <w:right w:val="none" w:sz="0" w:space="0" w:color="auto"/>
      </w:divBdr>
    </w:div>
    <w:div w:id="1059479736">
      <w:bodyDiv w:val="1"/>
      <w:marLeft w:val="0"/>
      <w:marRight w:val="0"/>
      <w:marTop w:val="0"/>
      <w:marBottom w:val="0"/>
      <w:divBdr>
        <w:top w:val="none" w:sz="0" w:space="0" w:color="auto"/>
        <w:left w:val="none" w:sz="0" w:space="0" w:color="auto"/>
        <w:bottom w:val="none" w:sz="0" w:space="0" w:color="auto"/>
        <w:right w:val="none" w:sz="0" w:space="0" w:color="auto"/>
      </w:divBdr>
    </w:div>
    <w:div w:id="1130173036">
      <w:bodyDiv w:val="1"/>
      <w:marLeft w:val="0"/>
      <w:marRight w:val="0"/>
      <w:marTop w:val="0"/>
      <w:marBottom w:val="0"/>
      <w:divBdr>
        <w:top w:val="none" w:sz="0" w:space="0" w:color="auto"/>
        <w:left w:val="none" w:sz="0" w:space="0" w:color="auto"/>
        <w:bottom w:val="none" w:sz="0" w:space="0" w:color="auto"/>
        <w:right w:val="none" w:sz="0" w:space="0" w:color="auto"/>
      </w:divBdr>
    </w:div>
    <w:div w:id="1291017497">
      <w:bodyDiv w:val="1"/>
      <w:marLeft w:val="0"/>
      <w:marRight w:val="0"/>
      <w:marTop w:val="0"/>
      <w:marBottom w:val="0"/>
      <w:divBdr>
        <w:top w:val="none" w:sz="0" w:space="0" w:color="auto"/>
        <w:left w:val="none" w:sz="0" w:space="0" w:color="auto"/>
        <w:bottom w:val="none" w:sz="0" w:space="0" w:color="auto"/>
        <w:right w:val="none" w:sz="0" w:space="0" w:color="auto"/>
      </w:divBdr>
    </w:div>
    <w:div w:id="1325622982">
      <w:bodyDiv w:val="1"/>
      <w:marLeft w:val="0"/>
      <w:marRight w:val="0"/>
      <w:marTop w:val="0"/>
      <w:marBottom w:val="0"/>
      <w:divBdr>
        <w:top w:val="none" w:sz="0" w:space="0" w:color="auto"/>
        <w:left w:val="none" w:sz="0" w:space="0" w:color="auto"/>
        <w:bottom w:val="none" w:sz="0" w:space="0" w:color="auto"/>
        <w:right w:val="none" w:sz="0" w:space="0" w:color="auto"/>
      </w:divBdr>
    </w:div>
    <w:div w:id="1394155552">
      <w:bodyDiv w:val="1"/>
      <w:marLeft w:val="0"/>
      <w:marRight w:val="0"/>
      <w:marTop w:val="0"/>
      <w:marBottom w:val="0"/>
      <w:divBdr>
        <w:top w:val="none" w:sz="0" w:space="0" w:color="auto"/>
        <w:left w:val="none" w:sz="0" w:space="0" w:color="auto"/>
        <w:bottom w:val="none" w:sz="0" w:space="0" w:color="auto"/>
        <w:right w:val="none" w:sz="0" w:space="0" w:color="auto"/>
      </w:divBdr>
    </w:div>
    <w:div w:id="1440636707">
      <w:bodyDiv w:val="1"/>
      <w:marLeft w:val="0"/>
      <w:marRight w:val="0"/>
      <w:marTop w:val="0"/>
      <w:marBottom w:val="0"/>
      <w:divBdr>
        <w:top w:val="none" w:sz="0" w:space="0" w:color="auto"/>
        <w:left w:val="none" w:sz="0" w:space="0" w:color="auto"/>
        <w:bottom w:val="none" w:sz="0" w:space="0" w:color="auto"/>
        <w:right w:val="none" w:sz="0" w:space="0" w:color="auto"/>
      </w:divBdr>
    </w:div>
    <w:div w:id="1590430145">
      <w:bodyDiv w:val="1"/>
      <w:marLeft w:val="0"/>
      <w:marRight w:val="0"/>
      <w:marTop w:val="0"/>
      <w:marBottom w:val="0"/>
      <w:divBdr>
        <w:top w:val="none" w:sz="0" w:space="0" w:color="auto"/>
        <w:left w:val="none" w:sz="0" w:space="0" w:color="auto"/>
        <w:bottom w:val="none" w:sz="0" w:space="0" w:color="auto"/>
        <w:right w:val="none" w:sz="0" w:space="0" w:color="auto"/>
      </w:divBdr>
    </w:div>
    <w:div w:id="1664697260">
      <w:bodyDiv w:val="1"/>
      <w:marLeft w:val="0"/>
      <w:marRight w:val="0"/>
      <w:marTop w:val="0"/>
      <w:marBottom w:val="0"/>
      <w:divBdr>
        <w:top w:val="none" w:sz="0" w:space="0" w:color="auto"/>
        <w:left w:val="none" w:sz="0" w:space="0" w:color="auto"/>
        <w:bottom w:val="none" w:sz="0" w:space="0" w:color="auto"/>
        <w:right w:val="none" w:sz="0" w:space="0" w:color="auto"/>
      </w:divBdr>
    </w:div>
    <w:div w:id="1713840216">
      <w:bodyDiv w:val="1"/>
      <w:marLeft w:val="0"/>
      <w:marRight w:val="0"/>
      <w:marTop w:val="0"/>
      <w:marBottom w:val="0"/>
      <w:divBdr>
        <w:top w:val="none" w:sz="0" w:space="0" w:color="auto"/>
        <w:left w:val="none" w:sz="0" w:space="0" w:color="auto"/>
        <w:bottom w:val="none" w:sz="0" w:space="0" w:color="auto"/>
        <w:right w:val="none" w:sz="0" w:space="0" w:color="auto"/>
      </w:divBdr>
    </w:div>
    <w:div w:id="1772360570">
      <w:bodyDiv w:val="1"/>
      <w:marLeft w:val="0"/>
      <w:marRight w:val="0"/>
      <w:marTop w:val="0"/>
      <w:marBottom w:val="0"/>
      <w:divBdr>
        <w:top w:val="none" w:sz="0" w:space="0" w:color="auto"/>
        <w:left w:val="none" w:sz="0" w:space="0" w:color="auto"/>
        <w:bottom w:val="none" w:sz="0" w:space="0" w:color="auto"/>
        <w:right w:val="none" w:sz="0" w:space="0" w:color="auto"/>
      </w:divBdr>
    </w:div>
    <w:div w:id="1792360025">
      <w:bodyDiv w:val="1"/>
      <w:marLeft w:val="0"/>
      <w:marRight w:val="0"/>
      <w:marTop w:val="0"/>
      <w:marBottom w:val="0"/>
      <w:divBdr>
        <w:top w:val="none" w:sz="0" w:space="0" w:color="auto"/>
        <w:left w:val="none" w:sz="0" w:space="0" w:color="auto"/>
        <w:bottom w:val="none" w:sz="0" w:space="0" w:color="auto"/>
        <w:right w:val="none" w:sz="0" w:space="0" w:color="auto"/>
      </w:divBdr>
    </w:div>
    <w:div w:id="1894152237">
      <w:bodyDiv w:val="1"/>
      <w:marLeft w:val="0"/>
      <w:marRight w:val="0"/>
      <w:marTop w:val="0"/>
      <w:marBottom w:val="0"/>
      <w:divBdr>
        <w:top w:val="none" w:sz="0" w:space="0" w:color="auto"/>
        <w:left w:val="none" w:sz="0" w:space="0" w:color="auto"/>
        <w:bottom w:val="none" w:sz="0" w:space="0" w:color="auto"/>
        <w:right w:val="none" w:sz="0" w:space="0" w:color="auto"/>
      </w:divBdr>
    </w:div>
    <w:div w:id="2072263637">
      <w:bodyDiv w:val="1"/>
      <w:marLeft w:val="0"/>
      <w:marRight w:val="0"/>
      <w:marTop w:val="0"/>
      <w:marBottom w:val="0"/>
      <w:divBdr>
        <w:top w:val="none" w:sz="0" w:space="0" w:color="auto"/>
        <w:left w:val="none" w:sz="0" w:space="0" w:color="auto"/>
        <w:bottom w:val="none" w:sz="0" w:space="0" w:color="auto"/>
        <w:right w:val="none" w:sz="0" w:space="0" w:color="auto"/>
      </w:divBdr>
    </w:div>
    <w:div w:id="20988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2670</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PROMOTING CHILD DEVELOPMENT in the PRIMARY CARE PRACTICE:</vt:lpstr>
    </vt:vector>
  </TitlesOfParts>
  <Company>UW Waisman Center</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CHILD DEVELOPMENT in the PRIMARY CARE PRACTICE:</dc:title>
  <dc:subject/>
  <dc:creator>Christine M. Breunig</dc:creator>
  <cp:keywords/>
  <cp:lastModifiedBy>Laura Thompson</cp:lastModifiedBy>
  <cp:revision>3</cp:revision>
  <cp:lastPrinted>2024-09-26T14:58:00Z</cp:lastPrinted>
  <dcterms:created xsi:type="dcterms:W3CDTF">2026-01-05T18:09:00Z</dcterms:created>
  <dcterms:modified xsi:type="dcterms:W3CDTF">2026-01-06T23:29:00Z</dcterms:modified>
</cp:coreProperties>
</file>